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50" w:rsidRPr="005E6998" w:rsidRDefault="00F74950" w:rsidP="00F74950">
      <w:pPr>
        <w:pStyle w:val="Title4"/>
        <w:rPr>
          <w:b/>
        </w:rPr>
      </w:pPr>
      <w:r w:rsidRPr="005E6998">
        <w:rPr>
          <w:b/>
        </w:rPr>
        <w:t xml:space="preserve">Adopted by the International Conference on Chemicals Management at its first session, held in </w:t>
      </w:r>
      <w:smartTag w:uri="urn:schemas-microsoft-com:office:smarttags" w:element="place">
        <w:smartTag w:uri="urn:schemas-microsoft-com:office:smarttags" w:element="City">
          <w:r w:rsidRPr="005E6998">
            <w:rPr>
              <w:b/>
            </w:rPr>
            <w:t>Dubai</w:t>
          </w:r>
        </w:smartTag>
        <w:r w:rsidRPr="005E6998">
          <w:rPr>
            <w:b/>
          </w:rPr>
          <w:t xml:space="preserve">, </w:t>
        </w:r>
        <w:smartTag w:uri="urn:schemas-microsoft-com:office:smarttags" w:element="country-region">
          <w:r w:rsidRPr="005E6998">
            <w:rPr>
              <w:b/>
            </w:rPr>
            <w:t>United Arab Emirates</w:t>
          </w:r>
        </w:smartTag>
      </w:smartTag>
      <w:r w:rsidRPr="005E6998">
        <w:rPr>
          <w:b/>
        </w:rPr>
        <w:t xml:space="preserve">, from 4 to </w:t>
      </w:r>
      <w:smartTag w:uri="urn:schemas-microsoft-com:office:smarttags" w:element="date">
        <w:smartTagPr>
          <w:attr w:name="Year" w:val="2006"/>
          <w:attr w:name="Day" w:val="6"/>
          <w:attr w:name="Month" w:val="2"/>
        </w:smartTagPr>
        <w:r w:rsidRPr="005E6998">
          <w:rPr>
            <w:b/>
          </w:rPr>
          <w:t>6 February 2006</w:t>
        </w:r>
      </w:smartTag>
    </w:p>
    <w:p w:rsidR="00F74950" w:rsidRDefault="00F74950" w:rsidP="00F74950">
      <w:pPr>
        <w:pStyle w:val="Title3"/>
      </w:pPr>
      <w:bookmarkStart w:id="0" w:name="_Toc138838913"/>
      <w:r>
        <w:t>I/1.</w:t>
      </w:r>
      <w:r>
        <w:tab/>
        <w:t>Implementation arrangements</w:t>
      </w:r>
      <w:bookmarkEnd w:id="0"/>
    </w:p>
    <w:p w:rsidR="00F74950" w:rsidRDefault="00F74950" w:rsidP="00F74950">
      <w:pPr>
        <w:pStyle w:val="Bodyind1"/>
        <w:rPr>
          <w:i/>
        </w:rPr>
      </w:pPr>
      <w:r>
        <w:rPr>
          <w:i/>
        </w:rPr>
        <w:t>The Conference,</w:t>
      </w:r>
    </w:p>
    <w:p w:rsidR="00F74950" w:rsidRDefault="00F74950" w:rsidP="00F74950">
      <w:pPr>
        <w:pStyle w:val="Resolutions"/>
      </w:pPr>
      <w:r>
        <w:rPr>
          <w:i/>
        </w:rPr>
        <w:t>Having adopted</w:t>
      </w:r>
      <w:r>
        <w:t xml:space="preserve"> the Dubai Declaration on International Chemicals Management and Overarching Policy Strategy and encouraged the use and further development of the Global Plan of Action for the Strategic Approach to International Chemicals Management (hereinafter referred to as the “Strategic Approach”),</w:t>
      </w:r>
    </w:p>
    <w:p w:rsidR="00F74950" w:rsidRDefault="00F74950" w:rsidP="00F74950">
      <w:pPr>
        <w:pStyle w:val="Resolutions"/>
      </w:pPr>
      <w:r>
        <w:rPr>
          <w:i/>
        </w:rPr>
        <w:t>Having incorporated</w:t>
      </w:r>
      <w:r>
        <w:t xml:space="preserve"> implementation provisions within the text of the Overarching Policy Strategy of the Strategic Approach,</w:t>
      </w:r>
    </w:p>
    <w:p w:rsidR="00F74950" w:rsidRDefault="00F74950" w:rsidP="00F74950">
      <w:pPr>
        <w:pStyle w:val="Resolutions"/>
      </w:pPr>
      <w:r>
        <w:rPr>
          <w:i/>
        </w:rPr>
        <w:t>Wishing</w:t>
      </w:r>
      <w:r>
        <w:t xml:space="preserve"> to highlight the common dedication of the participants at the Conference to cooperating in achieving high standards for health and environmental protection and taking advantage of the diversity that each of them brings to the Strategic Approach process,</w:t>
      </w:r>
    </w:p>
    <w:p w:rsidR="00F74950" w:rsidRDefault="00F74950" w:rsidP="00F74950">
      <w:pPr>
        <w:pStyle w:val="Resolutions"/>
      </w:pPr>
      <w:r>
        <w:rPr>
          <w:i/>
        </w:rPr>
        <w:t>Acknowledging</w:t>
      </w:r>
      <w:r>
        <w:t xml:space="preserve"> that the participants come from many different geographical regions with different experiences, ideas and mechanisms for approaching chemicals management and that such diversity should be allowed to serve common goals and that all efforts and experiences should offer new lessons for facing the problems that affect all humankind,</w:t>
      </w:r>
    </w:p>
    <w:p w:rsidR="00F74950" w:rsidRDefault="00F74950" w:rsidP="00F74950">
      <w:pPr>
        <w:pStyle w:val="Resolutions"/>
      </w:pPr>
      <w:r>
        <w:rPr>
          <w:i/>
        </w:rPr>
        <w:t>Considering</w:t>
      </w:r>
      <w:r>
        <w:t xml:space="preserve"> that arrangements are essential to implement expeditiously the Strategic Approach, to protect human health and the environment and to reach the Johannesburg Plan of Implementation</w:t>
      </w:r>
      <w:r>
        <w:rPr>
          <w:rStyle w:val="StyleFootnoteReferencess"/>
        </w:rPr>
        <w:footnoteReference w:id="1"/>
      </w:r>
      <w:r>
        <w:t xml:space="preserve"> goal that, by 2020, chemicals are used and produced in ways that minimize significant adverse effects on human health and the environment,</w:t>
      </w:r>
    </w:p>
    <w:p w:rsidR="00F74950" w:rsidRDefault="00F74950" w:rsidP="00F74950">
      <w:pPr>
        <w:pStyle w:val="Resolutions"/>
      </w:pPr>
      <w:r>
        <w:rPr>
          <w:i/>
        </w:rPr>
        <w:t>Recalling</w:t>
      </w:r>
      <w:r>
        <w:t xml:space="preserve"> decisions SS.VII/3 of 15 February 2002, 22/4 IV of 7 February 2003 and 23/9 II of 25 February 2005 of the Governing Council of the United Nations Environment Programme on the development of a strategic approach to international chemicals management, as endorsed by the World Summit on Sustainable Development in September 2002 and the United Nations World Summit</w:t>
      </w:r>
      <w:r>
        <w:rPr>
          <w:rStyle w:val="StyleFootnoteReferencess"/>
        </w:rPr>
        <w:footnoteReference w:id="2"/>
      </w:r>
      <w:r>
        <w:t xml:space="preserve"> in September 2005,</w:t>
      </w:r>
    </w:p>
    <w:p w:rsidR="00F74950" w:rsidRDefault="00F74950" w:rsidP="00F74950">
      <w:pPr>
        <w:pStyle w:val="Resolutionsind"/>
        <w:keepNext/>
        <w:keepLines/>
        <w:tabs>
          <w:tab w:val="clear" w:pos="851"/>
          <w:tab w:val="clear" w:pos="1247"/>
        </w:tabs>
        <w:ind w:left="624"/>
      </w:pPr>
      <w:r>
        <w:rPr>
          <w:i/>
        </w:rPr>
        <w:lastRenderedPageBreak/>
        <w:t>Calls on</w:t>
      </w:r>
      <w:r>
        <w:t xml:space="preserve"> all stakeholders, including Governments, intergovernmental and non</w:t>
      </w:r>
      <w:r>
        <w:noBreakHyphen/>
        <w:t>governmental organizations, regional economic integration organizations, representatives of civil society and the private sector, to take appropriate action to achieve the objectives set forth in the Strategic Approach;</w:t>
      </w:r>
    </w:p>
    <w:p w:rsidR="00F74950" w:rsidRDefault="00F74950" w:rsidP="00F74950">
      <w:pPr>
        <w:pStyle w:val="Resolutionsind"/>
        <w:tabs>
          <w:tab w:val="clear" w:pos="851"/>
          <w:tab w:val="clear" w:pos="1247"/>
        </w:tabs>
        <w:ind w:left="624"/>
      </w:pPr>
      <w:r>
        <w:rPr>
          <w:i/>
        </w:rPr>
        <w:t>Encourages</w:t>
      </w:r>
      <w:r>
        <w:t xml:space="preserve"> Governments to focus their initial implementation work on those activities that will facilitate a prompt start in efforts to achieve the Johannesburg Plan of Implementation 2020 goal and the objectives set forth in the Strategic Approach, such as by continuing to facilitate existing international chemicals management priorities and considering additional efforts that are needed to develop a national Strategic Approach implementation plan, including the building of appropriate capacities and institutional arrangements, taking into consideration, as appropriate, existing priorities and elements;</w:t>
      </w:r>
    </w:p>
    <w:p w:rsidR="00F74950" w:rsidRDefault="00F74950" w:rsidP="00F74950">
      <w:pPr>
        <w:pStyle w:val="Resolutionsind"/>
        <w:tabs>
          <w:tab w:val="clear" w:pos="851"/>
          <w:tab w:val="clear" w:pos="1247"/>
        </w:tabs>
        <w:ind w:left="624"/>
      </w:pPr>
      <w:r>
        <w:rPr>
          <w:i/>
        </w:rPr>
        <w:t>Commends</w:t>
      </w:r>
      <w:r>
        <w:t xml:space="preserve"> the Strategic Approach to the attention of the governing bodies of relevant intergovernmental organizations and encourages them to endorse or otherwise appropriately acknowledge the Strategic Approach with a view to incorporating its objectives into their programmes of work within their mandates and to report thereon to the International Conference on Chemicals Management;</w:t>
      </w:r>
    </w:p>
    <w:p w:rsidR="00F74950" w:rsidRDefault="00F74950" w:rsidP="00F74950">
      <w:pPr>
        <w:pStyle w:val="Resolutionsind"/>
        <w:tabs>
          <w:tab w:val="clear" w:pos="851"/>
          <w:tab w:val="clear" w:pos="1247"/>
        </w:tabs>
        <w:ind w:left="624"/>
      </w:pPr>
      <w:r>
        <w:rPr>
          <w:i/>
        </w:rPr>
        <w:t>Encourages</w:t>
      </w:r>
      <w:r>
        <w:t xml:space="preserve"> non-governmental organizations and the private sector to support implementation of the Strategic Approach at the national, regional and global levels, including through partnerships with Governments, intergovernmental organizations, regional economic integration organizations and other stakeholders;</w:t>
      </w:r>
    </w:p>
    <w:p w:rsidR="00F74950" w:rsidRDefault="00F74950" w:rsidP="00F74950">
      <w:pPr>
        <w:pStyle w:val="Resolutionsind"/>
        <w:tabs>
          <w:tab w:val="clear" w:pos="851"/>
          <w:tab w:val="clear" w:pos="1247"/>
        </w:tabs>
        <w:ind w:left="624"/>
      </w:pPr>
      <w:r>
        <w:rPr>
          <w:i/>
        </w:rPr>
        <w:t>Invites</w:t>
      </w:r>
      <w:r>
        <w:t xml:space="preserve"> the Executive Director of the United Nations Environment Programme to convene further sessions of the International Conference on Chemicals Management, working in collaboration with the participating organizations of the Inter</w:t>
      </w:r>
      <w:r>
        <w:noBreakHyphen/>
        <w:t>Organization Programme for the Sound Management of Chemicals, the United Nations Development Programme and other intergovernmental organizations and bearing in mind that, where appropriate, sessions of the Conference should be held back-to-back with meetings of the governing bodies of relevant intergovernmental organizations in order to enhance synergies and cost-effectiveness and to promote the Strategic Approach’s multi</w:t>
      </w:r>
      <w:r>
        <w:noBreakHyphen/>
        <w:t>sectoral nature;</w:t>
      </w:r>
    </w:p>
    <w:p w:rsidR="00F74950" w:rsidRDefault="00F74950" w:rsidP="00F74950">
      <w:pPr>
        <w:pStyle w:val="Resolutionsind"/>
        <w:tabs>
          <w:tab w:val="clear" w:pos="851"/>
          <w:tab w:val="clear" w:pos="1247"/>
        </w:tabs>
        <w:ind w:left="624"/>
      </w:pPr>
      <w:r>
        <w:rPr>
          <w:i/>
        </w:rPr>
        <w:t>Calls on</w:t>
      </w:r>
      <w:r>
        <w:t xml:space="preserve"> Governments to designate national Strategic Approach focal points and to communicate the details of the focal points to the Strategic Approach secretariat referred to in paragraphs 11 and 12, below, as soon as possible;</w:t>
      </w:r>
    </w:p>
    <w:p w:rsidR="00F74950" w:rsidRDefault="00F74950" w:rsidP="00F74950">
      <w:pPr>
        <w:pStyle w:val="Resolutionsind"/>
        <w:tabs>
          <w:tab w:val="clear" w:pos="851"/>
          <w:tab w:val="clear" w:pos="1247"/>
        </w:tabs>
        <w:ind w:left="624"/>
      </w:pPr>
      <w:r>
        <w:rPr>
          <w:i/>
        </w:rPr>
        <w:lastRenderedPageBreak/>
        <w:t>Calls on</w:t>
      </w:r>
      <w:r>
        <w:t xml:space="preserve"> non-governmental participants to designate Strategic Approach focal points and communicate the details of the focal points to the Strategic Approach secretariat referred to in paragraphs 11 and 12, below, as soon as possible;</w:t>
      </w:r>
    </w:p>
    <w:p w:rsidR="00F74950" w:rsidRDefault="00F74950" w:rsidP="00F74950">
      <w:pPr>
        <w:pStyle w:val="Resolutionsind"/>
        <w:tabs>
          <w:tab w:val="clear" w:pos="851"/>
          <w:tab w:val="clear" w:pos="1247"/>
        </w:tabs>
        <w:ind w:left="624"/>
      </w:pPr>
      <w:r>
        <w:rPr>
          <w:i/>
        </w:rPr>
        <w:t>Recommends</w:t>
      </w:r>
      <w:r>
        <w:t xml:space="preserve"> that intersessional work be promoted through, among other things, the holding of regional meetings, the designation of regional Strategic Approach focal points and the communication of the details of those focal points to the Strategic Approach secretariat referred to in paragraphs 11 and 12, below, as soon as possible;</w:t>
      </w:r>
    </w:p>
    <w:p w:rsidR="00F74950" w:rsidRDefault="00F74950" w:rsidP="00F74950">
      <w:pPr>
        <w:pStyle w:val="Resolutionsind"/>
        <w:tabs>
          <w:tab w:val="clear" w:pos="851"/>
          <w:tab w:val="clear" w:pos="1247"/>
        </w:tabs>
        <w:ind w:left="624"/>
      </w:pPr>
      <w:r>
        <w:rPr>
          <w:i/>
        </w:rPr>
        <w:t>Encourages</w:t>
      </w:r>
      <w:r>
        <w:t xml:space="preserve"> Governments and regional economic integration organizations with more advanced programmes to provide financial and technical assistance, including training, to other Governments, in particular those of least developed countries and small island developing States, through appropriate action at the national or regional level, in developing their infrastructure and capacity to meet the objectives set forth in the Strategic Approach;</w:t>
      </w:r>
    </w:p>
    <w:p w:rsidR="00F74950" w:rsidRDefault="00F74950" w:rsidP="00F74950">
      <w:pPr>
        <w:pStyle w:val="Resolutionsind"/>
        <w:tabs>
          <w:tab w:val="clear" w:pos="851"/>
          <w:tab w:val="clear" w:pos="1247"/>
        </w:tabs>
        <w:ind w:left="624"/>
      </w:pPr>
      <w:r>
        <w:rPr>
          <w:i/>
        </w:rPr>
        <w:t>Encourages</w:t>
      </w:r>
      <w:r>
        <w:t xml:space="preserve"> Governments to give appropriate priority to chemicals management issues in their national sustainable development strategies and poverty reduction strategy papers;</w:t>
      </w:r>
    </w:p>
    <w:p w:rsidR="00F74950" w:rsidRDefault="00F74950" w:rsidP="00F74950">
      <w:pPr>
        <w:pStyle w:val="Resolutionsind"/>
        <w:tabs>
          <w:tab w:val="clear" w:pos="851"/>
          <w:tab w:val="clear" w:pos="1247"/>
        </w:tabs>
        <w:ind w:left="624"/>
      </w:pPr>
      <w:r>
        <w:rPr>
          <w:i/>
        </w:rPr>
        <w:t>Requests</w:t>
      </w:r>
      <w:r>
        <w:t xml:space="preserve"> the Executive Director of the United Nations Environment Programme to establish and assume overall administrative responsibility for the Strategic Approach secretariat and to co-locate it with the chemicals and wastes cluster of the United Nations Environment Programme in Geneva;</w:t>
      </w:r>
    </w:p>
    <w:p w:rsidR="00F74950" w:rsidRDefault="00F74950" w:rsidP="00F74950">
      <w:pPr>
        <w:pStyle w:val="Resolutionsind"/>
        <w:tabs>
          <w:tab w:val="clear" w:pos="851"/>
          <w:tab w:val="clear" w:pos="1247"/>
        </w:tabs>
        <w:ind w:left="624"/>
      </w:pPr>
      <w:r>
        <w:rPr>
          <w:i/>
        </w:rPr>
        <w:t>Invites</w:t>
      </w:r>
      <w:r>
        <w:t xml:space="preserve"> the Executive Director of the United Nations Environment Programme and the Director General of the World Health Organization to provide appropriate staff and other resources in accordance with the indicative budget and staffing provisions in tables 1 (budget) and 2 (staff) of the present resolution within available resources to enable their organizations to take lead roles in the secretariat in their respective areas of expertise in relation to the Strategic Approach and invites all Governments, other intergovernmental organizations and non-governmental organizations, including the private sector, to provide voluntary </w:t>
      </w:r>
      <w:proofErr w:type="spellStart"/>
      <w:r>
        <w:t>extrabudgetary</w:t>
      </w:r>
      <w:proofErr w:type="spellEnd"/>
      <w:r>
        <w:t xml:space="preserve"> resources in support of the secretariat in the fulfilment of its functions;</w:t>
      </w:r>
    </w:p>
    <w:p w:rsidR="00F74950" w:rsidRDefault="00F74950" w:rsidP="00F74950">
      <w:pPr>
        <w:pStyle w:val="Resolutionsind"/>
        <w:tabs>
          <w:tab w:val="clear" w:pos="851"/>
          <w:tab w:val="clear" w:pos="1247"/>
        </w:tabs>
        <w:ind w:left="624"/>
      </w:pPr>
      <w:r>
        <w:rPr>
          <w:i/>
        </w:rPr>
        <w:t>Welcomes</w:t>
      </w:r>
      <w:r>
        <w:t xml:space="preserve"> the offer of the United Nations Environment Programme to provide a Professional staff member of the Strategic Approach secretariat at the P-5 level and a potential offer from the World Health Organization to provide a Professional staff member of the Strategic Approach secretariat at the P-4 level, subject to approval by the World </w:t>
      </w:r>
      <w:r>
        <w:lastRenderedPageBreak/>
        <w:t>Health Assembly, from regular programme resources as contributions to the staffing foreseen in table 2;</w:t>
      </w:r>
    </w:p>
    <w:p w:rsidR="00F74950" w:rsidRDefault="00F74950" w:rsidP="00F74950">
      <w:pPr>
        <w:pStyle w:val="Resolutionsind"/>
        <w:tabs>
          <w:tab w:val="clear" w:pos="851"/>
          <w:tab w:val="clear" w:pos="1247"/>
        </w:tabs>
        <w:ind w:left="624"/>
      </w:pPr>
      <w:r>
        <w:rPr>
          <w:i/>
        </w:rPr>
        <w:t>Invites</w:t>
      </w:r>
      <w:r>
        <w:t xml:space="preserve"> the Executive Director of the United Nations Environment Programme, in cooperation with the participating organizations of the Inter-Organization Programme for the Sound Management of Chemicals and the United Nations Development Programme, to facilitate the development of the Quick Start Programme to be established pursuant to resolution I/4 of the Conference to support the strengthening of capabilities and capacities for the implementation of the Strategic Approach and promote the full and effective participation of developing countries and countries with economies in transition in the further work of the Strategic Approach; </w:t>
      </w:r>
    </w:p>
    <w:p w:rsidR="00F74950" w:rsidRDefault="00F74950" w:rsidP="00F74950">
      <w:pPr>
        <w:pStyle w:val="Resolutionsind"/>
        <w:tabs>
          <w:tab w:val="clear" w:pos="851"/>
          <w:tab w:val="clear" w:pos="1247"/>
        </w:tabs>
        <w:ind w:left="624"/>
        <w:rPr>
          <w:i/>
        </w:rPr>
      </w:pPr>
      <w:r>
        <w:rPr>
          <w:i/>
        </w:rPr>
        <w:t>Urges</w:t>
      </w:r>
      <w:r>
        <w:t xml:space="preserve"> Governments, regional economic integration organizations, intergovernmental organizations and non-governmental organizations to make contributions to the voluntary trust fund established by the United Nations Environment Programme to support Strategic Approach implementation activities under the Quick Start Programme. </w:t>
      </w:r>
    </w:p>
    <w:p w:rsidR="002F4632" w:rsidRDefault="002F4632" w:rsidP="00F74950"/>
    <w:sectPr w:rsidR="002F4632" w:rsidSect="008F475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950" w:rsidRDefault="00F74950" w:rsidP="00F74950">
      <w:r>
        <w:separator/>
      </w:r>
    </w:p>
  </w:endnote>
  <w:endnote w:type="continuationSeparator" w:id="0">
    <w:p w:rsidR="00F74950" w:rsidRDefault="00F74950" w:rsidP="00F7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45">
    <w:altName w:val="Cambria"/>
    <w:panose1 w:val="00000000000000000000"/>
    <w:charset w:val="00"/>
    <w:family w:val="swiss"/>
    <w:notTrueType/>
    <w:pitch w:val="variable"/>
    <w:sig w:usb0="00000003" w:usb1="00000000" w:usb2="00000000" w:usb3="00000000" w:csb0="00000001" w:csb1="00000000"/>
  </w:font>
  <w:font w:name="Helvetica 65">
    <w:panose1 w:val="00000000000000000000"/>
    <w:charset w:val="00"/>
    <w:family w:val="swiss"/>
    <w:notTrueType/>
    <w:pitch w:val="variable"/>
    <w:sig w:usb0="00000003" w:usb1="00000000" w:usb2="00000000" w:usb3="00000000" w:csb0="00000001" w:csb1="00000000"/>
  </w:font>
  <w:font w:name="Helvetica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950" w:rsidRDefault="00F74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700751"/>
      <w:docPartObj>
        <w:docPartGallery w:val="Page Numbers (Bottom of Page)"/>
        <w:docPartUnique/>
      </w:docPartObj>
    </w:sdtPr>
    <w:sdtEndPr>
      <w:rPr>
        <w:noProof/>
      </w:rPr>
    </w:sdtEndPr>
    <w:sdtContent>
      <w:bookmarkStart w:id="1" w:name="_GoBack" w:displacedByCustomXml="prev"/>
      <w:bookmarkEnd w:id="1" w:displacedByCustomXml="prev"/>
      <w:p w:rsidR="00F74950" w:rsidRDefault="00F7495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74950" w:rsidRDefault="00F74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950" w:rsidRDefault="00F74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950" w:rsidRDefault="00F74950" w:rsidP="00F74950">
      <w:r>
        <w:separator/>
      </w:r>
    </w:p>
  </w:footnote>
  <w:footnote w:type="continuationSeparator" w:id="0">
    <w:p w:rsidR="00F74950" w:rsidRDefault="00F74950" w:rsidP="00F74950">
      <w:r>
        <w:continuationSeparator/>
      </w:r>
    </w:p>
  </w:footnote>
  <w:footnote w:id="1">
    <w:p w:rsidR="00F74950" w:rsidRDefault="00F74950" w:rsidP="00F74950">
      <w:pPr>
        <w:pStyle w:val="Footnoteref"/>
      </w:pPr>
      <w:r>
        <w:rPr>
          <w:rStyle w:val="FootnoteReference"/>
        </w:rPr>
        <w:footnoteRef/>
      </w:r>
      <w:r>
        <w:t xml:space="preserve"> Plan of Implementation of the World Summit on Sustainable Development, para. 23 (</w:t>
      </w:r>
      <w:r>
        <w:rPr>
          <w:i/>
        </w:rPr>
        <w:t xml:space="preserve">Report of the World </w:t>
      </w:r>
      <w:smartTag w:uri="urn:schemas-microsoft-com:office:smarttags" w:element="City">
        <w:smartTag w:uri="urn:schemas-microsoft-com:office:smarttags" w:element="place">
          <w:r>
            <w:rPr>
              <w:i/>
            </w:rPr>
            <w:t>Summit</w:t>
          </w:r>
        </w:smartTag>
      </w:smartTag>
      <w:r>
        <w:rPr>
          <w:i/>
        </w:rPr>
        <w:t xml:space="preserve"> on Sustainable Development, </w:t>
      </w:r>
      <w:smartTag w:uri="urn:schemas-microsoft-com:office:smarttags" w:element="place">
        <w:smartTag w:uri="urn:schemas-microsoft-com:office:smarttags" w:element="City">
          <w:r>
            <w:rPr>
              <w:i/>
            </w:rPr>
            <w:t>Johannesburg</w:t>
          </w:r>
        </w:smartTag>
        <w:r>
          <w:rPr>
            <w:i/>
          </w:rPr>
          <w:t xml:space="preserve">, </w:t>
        </w:r>
        <w:smartTag w:uri="urn:schemas-microsoft-com:office:smarttags" w:element="country-region">
          <w:r>
            <w:rPr>
              <w:i/>
            </w:rPr>
            <w:t>South Africa</w:t>
          </w:r>
        </w:smartTag>
      </w:smartTag>
      <w:r>
        <w:rPr>
          <w:i/>
        </w:rPr>
        <w:t>, 26 August–</w:t>
      </w:r>
      <w:smartTag w:uri="urn:schemas-microsoft-com:office:smarttags" w:element="date">
        <w:smartTagPr>
          <w:attr w:name="Month" w:val="9"/>
          <w:attr w:name="Day" w:val="4"/>
          <w:attr w:name="Year" w:val="2002"/>
        </w:smartTagPr>
        <w:r>
          <w:rPr>
            <w:i/>
          </w:rPr>
          <w:t>4 September 2002</w:t>
        </w:r>
      </w:smartTag>
      <w:r>
        <w:rPr>
          <w:i/>
        </w:rPr>
        <w:t xml:space="preserve"> </w:t>
      </w:r>
      <w:r>
        <w:t>(United Nations publication, Sales No. E.03.II. A.1 and corrigendum), chap I, resolution 2, annex).</w:t>
      </w:r>
    </w:p>
  </w:footnote>
  <w:footnote w:id="2">
    <w:p w:rsidR="00F74950" w:rsidRDefault="00F74950" w:rsidP="00F74950">
      <w:pPr>
        <w:pStyle w:val="Footnoteref"/>
      </w:pPr>
      <w:r>
        <w:rPr>
          <w:rStyle w:val="FootnoteReference"/>
        </w:rPr>
        <w:footnoteRef/>
      </w:r>
      <w:r>
        <w:t xml:space="preserve"> General Assembly resolution 60/1 of </w:t>
      </w:r>
      <w:smartTag w:uri="urn:schemas-microsoft-com:office:smarttags" w:element="date">
        <w:smartTagPr>
          <w:attr w:name="Month" w:val="9"/>
          <w:attr w:name="Day" w:val="6"/>
          <w:attr w:name="Year" w:val="2005"/>
        </w:smartTagPr>
        <w:r>
          <w:t>6 September 2005</w:t>
        </w:r>
      </w:smartTag>
      <w:r>
        <w:t>, para. 56 (k).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950" w:rsidRDefault="00F74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950" w:rsidRDefault="00F74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950" w:rsidRDefault="00F74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D4E79"/>
    <w:multiLevelType w:val="hybridMultilevel"/>
    <w:tmpl w:val="FA288FEC"/>
    <w:lvl w:ilvl="0" w:tplc="FFFFFFFF">
      <w:start w:val="1"/>
      <w:numFmt w:val="decimal"/>
      <w:pStyle w:val="Resolutionsind"/>
      <w:lvlText w:val="%1."/>
      <w:lvlJc w:val="left"/>
      <w:pPr>
        <w:tabs>
          <w:tab w:val="num" w:pos="851"/>
        </w:tabs>
        <w:ind w:left="851" w:firstLine="0"/>
      </w:pPr>
      <w:rPr>
        <w:rFonts w:hint="default"/>
        <w:sz w:val="26"/>
        <w:szCs w:val="2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0"/>
    <w:rsid w:val="002F4632"/>
    <w:rsid w:val="00743C85"/>
    <w:rsid w:val="008F4757"/>
    <w:rsid w:val="00F749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dat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0"/>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4">
    <w:name w:val="#Title 4"/>
    <w:rsid w:val="00F74950"/>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Normal"/>
    <w:rsid w:val="00F74950"/>
    <w:pPr>
      <w:keepNext/>
      <w:pBdr>
        <w:bottom w:val="single" w:sz="8" w:space="1" w:color="0000FF"/>
      </w:pBdr>
      <w:tabs>
        <w:tab w:val="left" w:pos="624"/>
        <w:tab w:val="left" w:pos="1247"/>
        <w:tab w:val="left" w:pos="1871"/>
        <w:tab w:val="left" w:pos="2495"/>
        <w:tab w:val="left" w:pos="3119"/>
        <w:tab w:val="left" w:pos="3742"/>
      </w:tabs>
      <w:spacing w:after="280"/>
    </w:pPr>
    <w:rPr>
      <w:rFonts w:ascii="Helvetica 55" w:hAnsi="Helvetica 55"/>
      <w:bCs/>
      <w:sz w:val="32"/>
      <w:szCs w:val="32"/>
    </w:rPr>
  </w:style>
  <w:style w:type="character" w:styleId="FootnoteReference">
    <w:name w:val="footnote reference"/>
    <w:semiHidden/>
    <w:rsid w:val="00F74950"/>
    <w:rPr>
      <w:rFonts w:ascii="Helvetica 45" w:hAnsi="Helvetica 45"/>
      <w:dstrike w:val="0"/>
      <w:sz w:val="26"/>
      <w:szCs w:val="26"/>
      <w:vertAlign w:val="superscript"/>
    </w:rPr>
  </w:style>
  <w:style w:type="paragraph" w:customStyle="1" w:styleId="Footnoteref">
    <w:name w:val="#Footnote ref"/>
    <w:rsid w:val="00F74950"/>
    <w:pPr>
      <w:tabs>
        <w:tab w:val="left" w:pos="170"/>
      </w:tabs>
      <w:spacing w:after="0" w:line="240" w:lineRule="auto"/>
    </w:pPr>
    <w:rPr>
      <w:rFonts w:ascii="Helvetica 45" w:eastAsia="SimSun" w:hAnsi="Helvetica 45" w:cs="Times New Roman"/>
      <w:bCs/>
      <w:sz w:val="20"/>
      <w:szCs w:val="20"/>
      <w:lang w:val="en-GB"/>
    </w:rPr>
  </w:style>
  <w:style w:type="character" w:customStyle="1" w:styleId="StyleFootnoteReferencess">
    <w:name w:val="Style Footnote Reference +ss"/>
    <w:rsid w:val="00F74950"/>
    <w:rPr>
      <w:rFonts w:ascii="Helvetica 45" w:hAnsi="Helvetica 45"/>
      <w:dstrike w:val="0"/>
      <w:color w:val="000000"/>
      <w:sz w:val="26"/>
      <w:szCs w:val="26"/>
      <w:vertAlign w:val="superscript"/>
    </w:rPr>
  </w:style>
  <w:style w:type="paragraph" w:customStyle="1" w:styleId="Bodyind1">
    <w:name w:val="#Body ind 1"/>
    <w:rsid w:val="00F74950"/>
    <w:pPr>
      <w:spacing w:after="260" w:line="240" w:lineRule="auto"/>
      <w:ind w:left="624"/>
    </w:pPr>
    <w:rPr>
      <w:rFonts w:ascii="Helvetica 45" w:eastAsia="Times New Roman" w:hAnsi="Helvetica 45" w:cs="Times New Roman"/>
      <w:sz w:val="26"/>
      <w:szCs w:val="26"/>
      <w:lang w:val="en-GB" w:eastAsia="en-US"/>
    </w:rPr>
  </w:style>
  <w:style w:type="paragraph" w:customStyle="1" w:styleId="Resolutions">
    <w:name w:val="#Resolutions"/>
    <w:rsid w:val="00F74950"/>
    <w:pPr>
      <w:spacing w:after="260" w:line="240" w:lineRule="auto"/>
      <w:ind w:left="624"/>
    </w:pPr>
    <w:rPr>
      <w:rFonts w:ascii="Helvetica 45" w:eastAsia="Times New Roman" w:hAnsi="Helvetica 45" w:cs="Times New Roman"/>
      <w:iCs/>
      <w:sz w:val="26"/>
      <w:szCs w:val="26"/>
      <w:lang w:val="en-GB" w:eastAsia="en-US"/>
    </w:rPr>
  </w:style>
  <w:style w:type="paragraph" w:customStyle="1" w:styleId="Resolutionsind">
    <w:name w:val="#Resolutions ind"/>
    <w:rsid w:val="00F74950"/>
    <w:pPr>
      <w:numPr>
        <w:numId w:val="1"/>
      </w:numPr>
      <w:tabs>
        <w:tab w:val="left" w:pos="1247"/>
      </w:tabs>
      <w:spacing w:after="260" w:line="240" w:lineRule="auto"/>
    </w:pPr>
    <w:rPr>
      <w:rFonts w:ascii="Helvetica 45" w:eastAsia="Times New Roman" w:hAnsi="Helvetica 45" w:cs="Times New Roman"/>
      <w:sz w:val="26"/>
      <w:szCs w:val="26"/>
      <w:lang w:val="en-GB" w:eastAsia="en-US"/>
    </w:rPr>
  </w:style>
  <w:style w:type="paragraph" w:styleId="Header">
    <w:name w:val="header"/>
    <w:basedOn w:val="Normal"/>
    <w:link w:val="HeaderChar"/>
    <w:uiPriority w:val="99"/>
    <w:unhideWhenUsed/>
    <w:rsid w:val="00F74950"/>
    <w:pPr>
      <w:tabs>
        <w:tab w:val="center" w:pos="4513"/>
        <w:tab w:val="right" w:pos="9026"/>
      </w:tabs>
    </w:pPr>
  </w:style>
  <w:style w:type="character" w:customStyle="1" w:styleId="HeaderChar">
    <w:name w:val="Header Char"/>
    <w:basedOn w:val="DefaultParagraphFont"/>
    <w:link w:val="Header"/>
    <w:uiPriority w:val="99"/>
    <w:rsid w:val="00F74950"/>
    <w:rPr>
      <w:rFonts w:ascii="Helvetica 45" w:eastAsia="Times New Roman" w:hAnsi="Helvetica 45" w:cs="Times New Roman"/>
      <w:lang w:val="en-GB" w:eastAsia="en-US"/>
    </w:rPr>
  </w:style>
  <w:style w:type="paragraph" w:styleId="Footer">
    <w:name w:val="footer"/>
    <w:basedOn w:val="Normal"/>
    <w:link w:val="FooterChar"/>
    <w:uiPriority w:val="99"/>
    <w:unhideWhenUsed/>
    <w:rsid w:val="00F74950"/>
    <w:pPr>
      <w:tabs>
        <w:tab w:val="center" w:pos="4513"/>
        <w:tab w:val="right" w:pos="9026"/>
      </w:tabs>
    </w:pPr>
  </w:style>
  <w:style w:type="character" w:customStyle="1" w:styleId="FooterChar">
    <w:name w:val="Footer Char"/>
    <w:basedOn w:val="DefaultParagraphFont"/>
    <w:link w:val="Footer"/>
    <w:uiPriority w:val="99"/>
    <w:rsid w:val="00F74950"/>
    <w:rPr>
      <w:rFonts w:ascii="Helvetica 45" w:eastAsia="Times New Roman" w:hAnsi="Helvetica 45"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0"/>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4">
    <w:name w:val="#Title 4"/>
    <w:rsid w:val="00F74950"/>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Normal"/>
    <w:rsid w:val="00F74950"/>
    <w:pPr>
      <w:keepNext/>
      <w:pBdr>
        <w:bottom w:val="single" w:sz="8" w:space="1" w:color="0000FF"/>
      </w:pBdr>
      <w:tabs>
        <w:tab w:val="left" w:pos="624"/>
        <w:tab w:val="left" w:pos="1247"/>
        <w:tab w:val="left" w:pos="1871"/>
        <w:tab w:val="left" w:pos="2495"/>
        <w:tab w:val="left" w:pos="3119"/>
        <w:tab w:val="left" w:pos="3742"/>
      </w:tabs>
      <w:spacing w:after="280"/>
    </w:pPr>
    <w:rPr>
      <w:rFonts w:ascii="Helvetica 55" w:hAnsi="Helvetica 55"/>
      <w:bCs/>
      <w:sz w:val="32"/>
      <w:szCs w:val="32"/>
    </w:rPr>
  </w:style>
  <w:style w:type="character" w:styleId="FootnoteReference">
    <w:name w:val="footnote reference"/>
    <w:semiHidden/>
    <w:rsid w:val="00F74950"/>
    <w:rPr>
      <w:rFonts w:ascii="Helvetica 45" w:hAnsi="Helvetica 45"/>
      <w:dstrike w:val="0"/>
      <w:sz w:val="26"/>
      <w:szCs w:val="26"/>
      <w:vertAlign w:val="superscript"/>
    </w:rPr>
  </w:style>
  <w:style w:type="paragraph" w:customStyle="1" w:styleId="Footnoteref">
    <w:name w:val="#Footnote ref"/>
    <w:rsid w:val="00F74950"/>
    <w:pPr>
      <w:tabs>
        <w:tab w:val="left" w:pos="170"/>
      </w:tabs>
      <w:spacing w:after="0" w:line="240" w:lineRule="auto"/>
    </w:pPr>
    <w:rPr>
      <w:rFonts w:ascii="Helvetica 45" w:eastAsia="SimSun" w:hAnsi="Helvetica 45" w:cs="Times New Roman"/>
      <w:bCs/>
      <w:sz w:val="20"/>
      <w:szCs w:val="20"/>
      <w:lang w:val="en-GB"/>
    </w:rPr>
  </w:style>
  <w:style w:type="character" w:customStyle="1" w:styleId="StyleFootnoteReferencess">
    <w:name w:val="Style Footnote Reference +ss"/>
    <w:rsid w:val="00F74950"/>
    <w:rPr>
      <w:rFonts w:ascii="Helvetica 45" w:hAnsi="Helvetica 45"/>
      <w:dstrike w:val="0"/>
      <w:color w:val="000000"/>
      <w:sz w:val="26"/>
      <w:szCs w:val="26"/>
      <w:vertAlign w:val="superscript"/>
    </w:rPr>
  </w:style>
  <w:style w:type="paragraph" w:customStyle="1" w:styleId="Bodyind1">
    <w:name w:val="#Body ind 1"/>
    <w:rsid w:val="00F74950"/>
    <w:pPr>
      <w:spacing w:after="260" w:line="240" w:lineRule="auto"/>
      <w:ind w:left="624"/>
    </w:pPr>
    <w:rPr>
      <w:rFonts w:ascii="Helvetica 45" w:eastAsia="Times New Roman" w:hAnsi="Helvetica 45" w:cs="Times New Roman"/>
      <w:sz w:val="26"/>
      <w:szCs w:val="26"/>
      <w:lang w:val="en-GB" w:eastAsia="en-US"/>
    </w:rPr>
  </w:style>
  <w:style w:type="paragraph" w:customStyle="1" w:styleId="Resolutions">
    <w:name w:val="#Resolutions"/>
    <w:rsid w:val="00F74950"/>
    <w:pPr>
      <w:spacing w:after="260" w:line="240" w:lineRule="auto"/>
      <w:ind w:left="624"/>
    </w:pPr>
    <w:rPr>
      <w:rFonts w:ascii="Helvetica 45" w:eastAsia="Times New Roman" w:hAnsi="Helvetica 45" w:cs="Times New Roman"/>
      <w:iCs/>
      <w:sz w:val="26"/>
      <w:szCs w:val="26"/>
      <w:lang w:val="en-GB" w:eastAsia="en-US"/>
    </w:rPr>
  </w:style>
  <w:style w:type="paragraph" w:customStyle="1" w:styleId="Resolutionsind">
    <w:name w:val="#Resolutions ind"/>
    <w:rsid w:val="00F74950"/>
    <w:pPr>
      <w:numPr>
        <w:numId w:val="1"/>
      </w:numPr>
      <w:tabs>
        <w:tab w:val="left" w:pos="1247"/>
      </w:tabs>
      <w:spacing w:after="260" w:line="240" w:lineRule="auto"/>
    </w:pPr>
    <w:rPr>
      <w:rFonts w:ascii="Helvetica 45" w:eastAsia="Times New Roman" w:hAnsi="Helvetica 45" w:cs="Times New Roman"/>
      <w:sz w:val="26"/>
      <w:szCs w:val="26"/>
      <w:lang w:val="en-GB" w:eastAsia="en-US"/>
    </w:rPr>
  </w:style>
  <w:style w:type="paragraph" w:styleId="Header">
    <w:name w:val="header"/>
    <w:basedOn w:val="Normal"/>
    <w:link w:val="HeaderChar"/>
    <w:uiPriority w:val="99"/>
    <w:unhideWhenUsed/>
    <w:rsid w:val="00F74950"/>
    <w:pPr>
      <w:tabs>
        <w:tab w:val="center" w:pos="4513"/>
        <w:tab w:val="right" w:pos="9026"/>
      </w:tabs>
    </w:pPr>
  </w:style>
  <w:style w:type="character" w:customStyle="1" w:styleId="HeaderChar">
    <w:name w:val="Header Char"/>
    <w:basedOn w:val="DefaultParagraphFont"/>
    <w:link w:val="Header"/>
    <w:uiPriority w:val="99"/>
    <w:rsid w:val="00F74950"/>
    <w:rPr>
      <w:rFonts w:ascii="Helvetica 45" w:eastAsia="Times New Roman" w:hAnsi="Helvetica 45" w:cs="Times New Roman"/>
      <w:lang w:val="en-GB" w:eastAsia="en-US"/>
    </w:rPr>
  </w:style>
  <w:style w:type="paragraph" w:styleId="Footer">
    <w:name w:val="footer"/>
    <w:basedOn w:val="Normal"/>
    <w:link w:val="FooterChar"/>
    <w:uiPriority w:val="99"/>
    <w:unhideWhenUsed/>
    <w:rsid w:val="00F74950"/>
    <w:pPr>
      <w:tabs>
        <w:tab w:val="center" w:pos="4513"/>
        <w:tab w:val="right" w:pos="9026"/>
      </w:tabs>
    </w:pPr>
  </w:style>
  <w:style w:type="character" w:customStyle="1" w:styleId="FooterChar">
    <w:name w:val="Footer Char"/>
    <w:basedOn w:val="DefaultParagraphFont"/>
    <w:link w:val="Footer"/>
    <w:uiPriority w:val="99"/>
    <w:rsid w:val="00F74950"/>
    <w:rPr>
      <w:rFonts w:ascii="Helvetica 45" w:eastAsia="Times New Roman" w:hAnsi="Helvetica 45"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2016-08-18T07:43:00Z</dcterms:created>
  <dcterms:modified xsi:type="dcterms:W3CDTF">2016-08-18T07:44:00Z</dcterms:modified>
</cp:coreProperties>
</file>