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AE4" w:rsidRPr="00EE6EA5" w:rsidRDefault="00A12AE4" w:rsidP="00A12AE4">
      <w:pPr>
        <w:spacing w:before="240" w:after="240"/>
        <w:ind w:left="624"/>
        <w:rPr>
          <w:b/>
        </w:rPr>
      </w:pPr>
      <w:r w:rsidRPr="00EE6EA5">
        <w:rPr>
          <w:b/>
        </w:rPr>
        <w:t>II/3: Financial and technical resources for implementation</w:t>
      </w:r>
    </w:p>
    <w:p w:rsidR="00A12AE4" w:rsidRPr="001E36BD" w:rsidRDefault="00A12AE4" w:rsidP="00A12AE4">
      <w:pPr>
        <w:spacing w:after="120"/>
        <w:ind w:left="1247" w:firstLine="624"/>
        <w:rPr>
          <w:i/>
        </w:rPr>
      </w:pPr>
      <w:r w:rsidRPr="001E36BD">
        <w:rPr>
          <w:i/>
        </w:rPr>
        <w:t>The Conference,</w:t>
      </w:r>
      <w:r w:rsidRPr="001845F3">
        <w:t xml:space="preserve"> </w:t>
      </w:r>
    </w:p>
    <w:p w:rsidR="00A12AE4" w:rsidRPr="001E36BD" w:rsidRDefault="00A12AE4" w:rsidP="00A12AE4">
      <w:pPr>
        <w:spacing w:after="120"/>
        <w:ind w:left="1247" w:firstLine="624"/>
        <w:rPr>
          <w:i/>
        </w:rPr>
      </w:pPr>
      <w:r w:rsidRPr="001E36BD">
        <w:rPr>
          <w:i/>
        </w:rPr>
        <w:t xml:space="preserve">Recalling </w:t>
      </w:r>
      <w:r w:rsidRPr="001E36BD">
        <w:t xml:space="preserve">paragraph 19 of the Overarching Policy Strategy, </w:t>
      </w:r>
    </w:p>
    <w:p w:rsidR="00A12AE4" w:rsidRPr="001E36BD" w:rsidRDefault="00A12AE4" w:rsidP="00A12AE4">
      <w:pPr>
        <w:numPr>
          <w:ilvl w:val="0"/>
          <w:numId w:val="1"/>
        </w:numPr>
        <w:tabs>
          <w:tab w:val="clear" w:pos="540"/>
          <w:tab w:val="num" w:pos="2430"/>
        </w:tabs>
        <w:spacing w:after="120"/>
        <w:ind w:left="1247" w:firstLine="624"/>
        <w:rPr>
          <w:color w:val="000000"/>
        </w:rPr>
      </w:pPr>
      <w:r w:rsidRPr="001E36BD">
        <w:rPr>
          <w:i/>
          <w:color w:val="000000"/>
        </w:rPr>
        <w:t>Stresses</w:t>
      </w:r>
      <w:r w:rsidRPr="001E36BD">
        <w:rPr>
          <w:color w:val="000000"/>
        </w:rPr>
        <w:t xml:space="preserve"> that the sound management of chemicals is essential to the attainment of sustainable development, including the eradication of poverty and disease, the improvement of human health and the environment and the elevation and maintenance of the standard of living in countries at all levels of development;</w:t>
      </w:r>
    </w:p>
    <w:p w:rsidR="00A12AE4" w:rsidRPr="001E36BD" w:rsidRDefault="00A12AE4" w:rsidP="00A12AE4">
      <w:pPr>
        <w:numPr>
          <w:ilvl w:val="0"/>
          <w:numId w:val="1"/>
        </w:numPr>
        <w:tabs>
          <w:tab w:val="clear" w:pos="540"/>
          <w:tab w:val="num" w:pos="2430"/>
        </w:tabs>
        <w:spacing w:after="120"/>
        <w:ind w:left="1247" w:firstLine="624"/>
        <w:rPr>
          <w:color w:val="000000"/>
        </w:rPr>
      </w:pPr>
      <w:r w:rsidRPr="001E36BD">
        <w:rPr>
          <w:i/>
          <w:color w:val="000000"/>
        </w:rPr>
        <w:t>Reaffirms</w:t>
      </w:r>
      <w:r w:rsidRPr="001E36BD">
        <w:rPr>
          <w:color w:val="000000"/>
        </w:rPr>
        <w:t xml:space="preserve"> that </w:t>
      </w:r>
      <w:r w:rsidRPr="001E36BD">
        <w:t>achieving the objectives of the Overarching Policy Strategy for the sound management of chemicals throughout their life cycle by 2020 depends in part on the financing of diverse action at all levels and on enhanced synergies and the complementarity of the multiple financial arrangements foreseen in the</w:t>
      </w:r>
      <w:r w:rsidRPr="001E36BD">
        <w:rPr>
          <w:color w:val="000000"/>
        </w:rPr>
        <w:t xml:space="preserve"> Strategic Approach for its implementation;</w:t>
      </w:r>
    </w:p>
    <w:p w:rsidR="00A12AE4" w:rsidRPr="001E36BD" w:rsidRDefault="00A12AE4" w:rsidP="00A12AE4">
      <w:pPr>
        <w:numPr>
          <w:ilvl w:val="0"/>
          <w:numId w:val="1"/>
        </w:numPr>
        <w:tabs>
          <w:tab w:val="clear" w:pos="540"/>
          <w:tab w:val="num" w:pos="2430"/>
        </w:tabs>
        <w:spacing w:after="120"/>
        <w:ind w:left="1247" w:firstLine="624"/>
        <w:rPr>
          <w:color w:val="000000"/>
        </w:rPr>
      </w:pPr>
      <w:r w:rsidRPr="001E36BD">
        <w:rPr>
          <w:i/>
        </w:rPr>
        <w:t xml:space="preserve">Encourages </w:t>
      </w:r>
      <w:r w:rsidRPr="001E36BD">
        <w:t xml:space="preserve">additional research on the economic and social costs of unsound chemicals management, including the cost of inaction and the implications for the health sector, at the national, regional and international levels, to facilitate appropriate priority being given to the implementation of the Strategic Approach objectives; </w:t>
      </w:r>
    </w:p>
    <w:p w:rsidR="00A12AE4" w:rsidRPr="001E36BD" w:rsidRDefault="00A12AE4" w:rsidP="00A12AE4">
      <w:pPr>
        <w:numPr>
          <w:ilvl w:val="0"/>
          <w:numId w:val="1"/>
        </w:numPr>
        <w:tabs>
          <w:tab w:val="clear" w:pos="540"/>
          <w:tab w:val="num" w:pos="2430"/>
        </w:tabs>
        <w:spacing w:after="120"/>
        <w:ind w:left="1247" w:firstLine="624"/>
        <w:rPr>
          <w:color w:val="000000"/>
        </w:rPr>
      </w:pPr>
      <w:r>
        <w:rPr>
          <w:i/>
        </w:rPr>
        <w:t>Also e</w:t>
      </w:r>
      <w:r w:rsidRPr="001E36BD">
        <w:rPr>
          <w:i/>
        </w:rPr>
        <w:t>ncourages</w:t>
      </w:r>
      <w:r w:rsidRPr="001E36BD">
        <w:t xml:space="preserve"> research on and, where appropriate, the assessment and adoption at the national and subnational levels of economic instruments that internalize the external costs related to chemicals, bearing in mind that such instruments need careful design, in particular in developing countries and countries with economies in transition; </w:t>
      </w:r>
    </w:p>
    <w:p w:rsidR="00A12AE4" w:rsidRPr="001E36BD" w:rsidRDefault="00A12AE4" w:rsidP="00A12AE4">
      <w:pPr>
        <w:numPr>
          <w:ilvl w:val="0"/>
          <w:numId w:val="1"/>
        </w:numPr>
        <w:tabs>
          <w:tab w:val="clear" w:pos="540"/>
          <w:tab w:val="num" w:pos="2430"/>
        </w:tabs>
        <w:spacing w:after="120"/>
        <w:ind w:left="1247" w:firstLine="624"/>
      </w:pPr>
      <w:r w:rsidRPr="001E36BD">
        <w:rPr>
          <w:i/>
        </w:rPr>
        <w:t xml:space="preserve">Recognizes </w:t>
      </w:r>
      <w:r w:rsidRPr="001E36BD">
        <w:t>the need for sustainable, predictable, adequate and accessible funding for activities in support of the sound management of chemicals and the achievement of the objectives set forth in the Strategic Approach, taking into account the priorities identified by developing countries and countries with economies in transition;</w:t>
      </w:r>
    </w:p>
    <w:p w:rsidR="00A12AE4" w:rsidRPr="001E36BD" w:rsidRDefault="00A12AE4" w:rsidP="00A12AE4">
      <w:pPr>
        <w:numPr>
          <w:ilvl w:val="0"/>
          <w:numId w:val="1"/>
        </w:numPr>
        <w:tabs>
          <w:tab w:val="clear" w:pos="540"/>
          <w:tab w:val="num" w:pos="2430"/>
        </w:tabs>
        <w:spacing w:after="120"/>
        <w:ind w:left="1247" w:firstLine="624"/>
        <w:rPr>
          <w:i/>
        </w:rPr>
      </w:pPr>
      <w:r w:rsidRPr="001E36BD">
        <w:rPr>
          <w:i/>
        </w:rPr>
        <w:t xml:space="preserve">Encourages </w:t>
      </w:r>
      <w:r w:rsidRPr="001E36BD">
        <w:t>efforts by all countries aimed at mainstreaming sound chemicals management and calls upon donors and relevant organizations in their assistance strategies to prioritize financial and technical assistance to developing countries and countries with economies in transition to support their efforts to mainstream sound chemicals management into national development policies and plans;</w:t>
      </w:r>
    </w:p>
    <w:p w:rsidR="00A12AE4" w:rsidRPr="001E36BD" w:rsidRDefault="00A12AE4" w:rsidP="00A12AE4">
      <w:pPr>
        <w:numPr>
          <w:ilvl w:val="0"/>
          <w:numId w:val="1"/>
        </w:numPr>
        <w:tabs>
          <w:tab w:val="clear" w:pos="540"/>
          <w:tab w:val="num" w:pos="2430"/>
        </w:tabs>
        <w:spacing w:after="120"/>
        <w:ind w:left="1247" w:firstLine="624"/>
      </w:pPr>
      <w:r w:rsidRPr="001E36BD">
        <w:rPr>
          <w:i/>
        </w:rPr>
        <w:t xml:space="preserve">Invites </w:t>
      </w:r>
      <w:r w:rsidRPr="001E36BD">
        <w:t xml:space="preserve">funding for the implementation of the Strategic Approach from all stakeholders; </w:t>
      </w:r>
    </w:p>
    <w:p w:rsidR="00A12AE4" w:rsidRPr="001E36BD" w:rsidRDefault="00A12AE4" w:rsidP="00A12AE4">
      <w:pPr>
        <w:numPr>
          <w:ilvl w:val="0"/>
          <w:numId w:val="1"/>
        </w:numPr>
        <w:tabs>
          <w:tab w:val="clear" w:pos="540"/>
          <w:tab w:val="num" w:pos="2430"/>
        </w:tabs>
        <w:spacing w:after="120"/>
        <w:ind w:left="1247" w:firstLine="624"/>
      </w:pPr>
      <w:r w:rsidRPr="001E36BD">
        <w:rPr>
          <w:i/>
        </w:rPr>
        <w:t>Encourages</w:t>
      </w:r>
      <w:r w:rsidRPr="001E36BD">
        <w:t xml:space="preserve"> action by all stakeholders at the national or subnational level to support financing for the achievement of Strategic Approach objectives, within their capabilities, including by giving adequate priority to the sound management of chemicals in development, health and environmental planning and related budget allocation processes; </w:t>
      </w:r>
    </w:p>
    <w:p w:rsidR="00A12AE4" w:rsidRPr="001E36BD" w:rsidRDefault="00A12AE4" w:rsidP="00A12AE4">
      <w:pPr>
        <w:numPr>
          <w:ilvl w:val="0"/>
          <w:numId w:val="1"/>
        </w:numPr>
        <w:tabs>
          <w:tab w:val="clear" w:pos="540"/>
          <w:tab w:val="num" w:pos="2430"/>
        </w:tabs>
        <w:spacing w:after="120"/>
        <w:ind w:left="1247" w:firstLine="624"/>
      </w:pPr>
      <w:r w:rsidRPr="001E36BD">
        <w:rPr>
          <w:i/>
        </w:rPr>
        <w:t>Calls upon</w:t>
      </w:r>
      <w:r w:rsidRPr="001E36BD">
        <w:t xml:space="preserve"> all stakeholders to integrate and give adequate priority to Strategic Approach objectives in multilateral and bilateral development </w:t>
      </w:r>
      <w:r w:rsidRPr="001E36BD">
        <w:lastRenderedPageBreak/>
        <w:t xml:space="preserve">assistance cooperation to facilitate the allocation of necessary resources at the national, </w:t>
      </w:r>
      <w:proofErr w:type="spellStart"/>
      <w:r w:rsidRPr="001E36BD">
        <w:t>subregional</w:t>
      </w:r>
      <w:proofErr w:type="spellEnd"/>
      <w:r w:rsidRPr="001E36BD">
        <w:t xml:space="preserve">, regional, bilateral and multilateral levels; </w:t>
      </w:r>
    </w:p>
    <w:p w:rsidR="00A12AE4" w:rsidRPr="001E36BD" w:rsidRDefault="00A12AE4" w:rsidP="00A12AE4">
      <w:pPr>
        <w:numPr>
          <w:ilvl w:val="0"/>
          <w:numId w:val="1"/>
        </w:numPr>
        <w:tabs>
          <w:tab w:val="clear" w:pos="540"/>
          <w:tab w:val="num" w:pos="2430"/>
        </w:tabs>
        <w:spacing w:after="120"/>
        <w:ind w:left="1247" w:firstLine="624"/>
      </w:pPr>
      <w:r w:rsidRPr="001E36BD">
        <w:rPr>
          <w:i/>
        </w:rPr>
        <w:t xml:space="preserve">Invites </w:t>
      </w:r>
      <w:r w:rsidRPr="001E36BD">
        <w:t>all relevant financial institutions, in particular existing international financial institutions, including the World Bank and regional development banks, other international</w:t>
      </w:r>
      <w:r>
        <w:t>,</w:t>
      </w:r>
      <w:r w:rsidRPr="001E36BD">
        <w:t xml:space="preserve"> regional and </w:t>
      </w:r>
      <w:proofErr w:type="spellStart"/>
      <w:r w:rsidRPr="001E36BD">
        <w:t>subregional</w:t>
      </w:r>
      <w:proofErr w:type="spellEnd"/>
      <w:r w:rsidRPr="001E36BD">
        <w:t xml:space="preserve"> funding institutions and intergovernmental organizations, to build on existing synergies and to strengthen their support for activities contributing to the achievement of the Strategic Approach objectives, including through in-kind contributions, within their respective mandates;</w:t>
      </w:r>
    </w:p>
    <w:p w:rsidR="00A12AE4" w:rsidRPr="001E36BD" w:rsidRDefault="00A12AE4" w:rsidP="00A12AE4">
      <w:pPr>
        <w:numPr>
          <w:ilvl w:val="0"/>
          <w:numId w:val="1"/>
        </w:numPr>
        <w:tabs>
          <w:tab w:val="clear" w:pos="540"/>
          <w:tab w:val="num" w:pos="2430"/>
        </w:tabs>
        <w:spacing w:after="120"/>
        <w:ind w:left="1247" w:firstLine="624"/>
      </w:pPr>
      <w:r w:rsidRPr="001E36BD">
        <w:rPr>
          <w:i/>
        </w:rPr>
        <w:t xml:space="preserve">Calls upon </w:t>
      </w:r>
      <w:r w:rsidRPr="001E36BD">
        <w:t>the private sector, including</w:t>
      </w:r>
      <w:r w:rsidRPr="001E36BD">
        <w:rPr>
          <w:i/>
        </w:rPr>
        <w:t xml:space="preserve"> </w:t>
      </w:r>
      <w:r w:rsidRPr="001E36BD">
        <w:t>industry, to enhance its support for the implementation of Strategic Approach objectives, including through voluntary initiatives, in</w:t>
      </w:r>
      <w:r>
        <w:t xml:space="preserve"> </w:t>
      </w:r>
      <w:r w:rsidRPr="001E36BD">
        <w:t>kind contributions, partnerships and financial and technical participation;</w:t>
      </w:r>
    </w:p>
    <w:p w:rsidR="00A12AE4" w:rsidRPr="001E36BD" w:rsidRDefault="00A12AE4" w:rsidP="00A12AE4">
      <w:pPr>
        <w:numPr>
          <w:ilvl w:val="0"/>
          <w:numId w:val="1"/>
        </w:numPr>
        <w:tabs>
          <w:tab w:val="clear" w:pos="540"/>
          <w:tab w:val="num" w:pos="2430"/>
        </w:tabs>
        <w:spacing w:after="120"/>
        <w:ind w:left="1247" w:firstLine="624"/>
        <w:rPr>
          <w:i/>
        </w:rPr>
      </w:pPr>
      <w:r w:rsidRPr="001E36BD">
        <w:rPr>
          <w:i/>
        </w:rPr>
        <w:t>Recognizes</w:t>
      </w:r>
      <w:r w:rsidRPr="001E36BD">
        <w:t xml:space="preserve"> the need to broaden the donor base for the Quick Start </w:t>
      </w:r>
      <w:proofErr w:type="spellStart"/>
      <w:r w:rsidRPr="001E36BD">
        <w:t>Programme</w:t>
      </w:r>
      <w:proofErr w:type="spellEnd"/>
      <w:r w:rsidRPr="001E36BD">
        <w:t xml:space="preserve">, urges potential donors, including Governments in a position to do so, intergovernmental organizations, the private sector, including industry, foundations, non-governmental organizations and other stakeholders, to contribute to the Quick Start </w:t>
      </w:r>
      <w:proofErr w:type="spellStart"/>
      <w:r w:rsidRPr="001E36BD">
        <w:t>Programme</w:t>
      </w:r>
      <w:proofErr w:type="spellEnd"/>
      <w:r w:rsidRPr="001E36BD">
        <w:t xml:space="preserve"> and calls on current donors to continue and strengthen their support; </w:t>
      </w:r>
    </w:p>
    <w:p w:rsidR="00A12AE4" w:rsidRPr="001E36BD" w:rsidRDefault="00A12AE4" w:rsidP="00A12AE4">
      <w:pPr>
        <w:numPr>
          <w:ilvl w:val="0"/>
          <w:numId w:val="1"/>
        </w:numPr>
        <w:tabs>
          <w:tab w:val="clear" w:pos="540"/>
          <w:tab w:val="num" w:pos="2430"/>
        </w:tabs>
        <w:spacing w:after="120"/>
        <w:ind w:left="1247" w:firstLine="624"/>
      </w:pPr>
      <w:r w:rsidRPr="001E36BD">
        <w:rPr>
          <w:i/>
        </w:rPr>
        <w:t xml:space="preserve">Welcomes </w:t>
      </w:r>
      <w:r w:rsidRPr="001E36BD">
        <w:t>the consideration being given to the sound management of chemicals during the fifth Global Environment Facility replenishment process;</w:t>
      </w:r>
    </w:p>
    <w:p w:rsidR="00A12AE4" w:rsidRPr="001E36BD" w:rsidRDefault="00A12AE4" w:rsidP="00A12AE4">
      <w:pPr>
        <w:numPr>
          <w:ilvl w:val="0"/>
          <w:numId w:val="1"/>
        </w:numPr>
        <w:tabs>
          <w:tab w:val="clear" w:pos="540"/>
          <w:tab w:val="num" w:pos="2430"/>
        </w:tabs>
        <w:spacing w:after="120"/>
        <w:ind w:left="1247" w:firstLine="624"/>
      </w:pPr>
      <w:r w:rsidRPr="001E36BD" w:rsidDel="00282263">
        <w:t xml:space="preserve"> </w:t>
      </w:r>
      <w:r w:rsidRPr="001E36BD">
        <w:rPr>
          <w:i/>
        </w:rPr>
        <w:t>Urges</w:t>
      </w:r>
      <w:r w:rsidRPr="001E36BD">
        <w:t xml:space="preserve"> the Global Environment Facility within this process to consider expanding its activities related to the sound management of chemicals</w:t>
      </w:r>
      <w:r>
        <w:t xml:space="preserve"> to facilitate Strategic Approach implementation</w:t>
      </w:r>
      <w:r w:rsidRPr="001E36BD">
        <w:t xml:space="preserve"> while respecting its responsibilities as the financial mechanism for the Stockholm Convention;</w:t>
      </w:r>
    </w:p>
    <w:p w:rsidR="00A12AE4" w:rsidRPr="001E36BD" w:rsidRDefault="00A12AE4" w:rsidP="00A12AE4">
      <w:pPr>
        <w:numPr>
          <w:ilvl w:val="0"/>
          <w:numId w:val="1"/>
        </w:numPr>
        <w:tabs>
          <w:tab w:val="clear" w:pos="540"/>
          <w:tab w:val="num" w:pos="2430"/>
        </w:tabs>
        <w:spacing w:after="120"/>
        <w:ind w:left="1247" w:firstLine="624"/>
      </w:pPr>
      <w:r w:rsidRPr="001E36BD">
        <w:rPr>
          <w:i/>
        </w:rPr>
        <w:t xml:space="preserve">Invites </w:t>
      </w:r>
      <w:r w:rsidRPr="001E36BD">
        <w:t>the Global Environment Facility to consider the priorities and activities identified in the Strategic Approach in support of the achievement of its objectives;</w:t>
      </w:r>
    </w:p>
    <w:p w:rsidR="00A12AE4" w:rsidRPr="001E36BD" w:rsidRDefault="00A12AE4" w:rsidP="00A12AE4">
      <w:pPr>
        <w:numPr>
          <w:ilvl w:val="0"/>
          <w:numId w:val="1"/>
        </w:numPr>
        <w:tabs>
          <w:tab w:val="clear" w:pos="540"/>
          <w:tab w:val="num" w:pos="2430"/>
        </w:tabs>
        <w:spacing w:after="120"/>
        <w:ind w:left="1247" w:firstLine="624"/>
      </w:pPr>
      <w:r w:rsidRPr="001E36BD">
        <w:rPr>
          <w:i/>
        </w:rPr>
        <w:t>Decides</w:t>
      </w:r>
      <w:r w:rsidRPr="001E36BD">
        <w:t xml:space="preserve">, in order to accommodate some potential donors’ budgetary planning horizons and to facilitate the </w:t>
      </w:r>
      <w:r>
        <w:t>evaluation</w:t>
      </w:r>
      <w:r w:rsidRPr="001E36BD">
        <w:t xml:space="preserve"> mentioned in paragraph 17 of the present </w:t>
      </w:r>
      <w:r>
        <w:t>resolution</w:t>
      </w:r>
      <w:r w:rsidRPr="001E36BD">
        <w:t xml:space="preserve">, to allow the Quick Start </w:t>
      </w:r>
      <w:proofErr w:type="spellStart"/>
      <w:r w:rsidRPr="001E36BD">
        <w:t>Programme</w:t>
      </w:r>
      <w:proofErr w:type="spellEnd"/>
      <w:r w:rsidRPr="001E36BD">
        <w:t xml:space="preserve"> Trust Fund to remain open for voluntary contributions until the third session of the International Conference on Chemicals Management while the time limit for disbursement of funds from the Trust Fund will remain the end of 2013;</w:t>
      </w:r>
    </w:p>
    <w:p w:rsidR="00A12AE4" w:rsidRPr="001E36BD" w:rsidRDefault="00A12AE4" w:rsidP="00A12AE4">
      <w:pPr>
        <w:numPr>
          <w:ilvl w:val="0"/>
          <w:numId w:val="1"/>
        </w:numPr>
        <w:tabs>
          <w:tab w:val="clear" w:pos="540"/>
          <w:tab w:val="num" w:pos="2430"/>
        </w:tabs>
        <w:spacing w:after="120"/>
        <w:ind w:left="1247" w:firstLine="624"/>
      </w:pPr>
      <w:r w:rsidRPr="001E36BD">
        <w:rPr>
          <w:i/>
        </w:rPr>
        <w:t xml:space="preserve">Requests </w:t>
      </w:r>
      <w:r w:rsidRPr="001E36BD">
        <w:t xml:space="preserve">the Quick Start </w:t>
      </w:r>
      <w:proofErr w:type="spellStart"/>
      <w:r w:rsidRPr="001E36BD">
        <w:t>Programme</w:t>
      </w:r>
      <w:proofErr w:type="spellEnd"/>
      <w:r w:rsidRPr="001E36BD">
        <w:t xml:space="preserve"> Executive Board to evaluate the Quick Start </w:t>
      </w:r>
      <w:proofErr w:type="spellStart"/>
      <w:r w:rsidRPr="001E36BD">
        <w:t>Programme</w:t>
      </w:r>
      <w:proofErr w:type="spellEnd"/>
      <w:r w:rsidRPr="001E36BD">
        <w:t>, report on its effectiveness and the efficiency of its implementation and make recommendations in the light of its findings for the consideration of the Conference at its third session;</w:t>
      </w:r>
    </w:p>
    <w:p w:rsidR="00A12AE4" w:rsidRPr="001E36BD" w:rsidRDefault="00A12AE4" w:rsidP="00A12AE4">
      <w:pPr>
        <w:numPr>
          <w:ilvl w:val="0"/>
          <w:numId w:val="1"/>
        </w:numPr>
        <w:tabs>
          <w:tab w:val="clear" w:pos="540"/>
          <w:tab w:val="num" w:pos="2430"/>
        </w:tabs>
        <w:spacing w:after="120"/>
        <w:ind w:left="1247" w:firstLine="624"/>
      </w:pPr>
      <w:r w:rsidRPr="001E36BD">
        <w:rPr>
          <w:i/>
        </w:rPr>
        <w:t>Invites</w:t>
      </w:r>
      <w:r w:rsidRPr="001E36BD">
        <w:t xml:space="preserve"> all </w:t>
      </w:r>
      <w:r w:rsidRPr="004436FF">
        <w:t>stakeholders</w:t>
      </w:r>
      <w:r>
        <w:t>, in particular those referred to in the present resolution,</w:t>
      </w:r>
      <w:r w:rsidRPr="004436FF">
        <w:t xml:space="preserve"> to </w:t>
      </w:r>
      <w:r>
        <w:t xml:space="preserve">assess and </w:t>
      </w:r>
      <w:r w:rsidRPr="004436FF">
        <w:t xml:space="preserve">report to the secretariat on the steps that they have taken to implement the Strategic Approach financial arrangements </w:t>
      </w:r>
      <w:r>
        <w:t>at the latest six months before the third session of the Conference</w:t>
      </w:r>
      <w:r w:rsidRPr="004436FF">
        <w:t xml:space="preserve"> and requests the secretariat to </w:t>
      </w:r>
      <w:r>
        <w:t>compile and synthesize these</w:t>
      </w:r>
      <w:r w:rsidRPr="004436FF">
        <w:t xml:space="preserve"> reports, including </w:t>
      </w:r>
      <w:r w:rsidRPr="001E36BD">
        <w:t xml:space="preserve">any additional relevant information, for consideration by the Conference at its third session; </w:t>
      </w:r>
    </w:p>
    <w:p w:rsidR="00A12AE4" w:rsidRPr="001E36BD" w:rsidRDefault="00A12AE4" w:rsidP="00A12AE4">
      <w:pPr>
        <w:numPr>
          <w:ilvl w:val="0"/>
          <w:numId w:val="1"/>
        </w:numPr>
        <w:tabs>
          <w:tab w:val="clear" w:pos="540"/>
          <w:tab w:val="num" w:pos="2430"/>
        </w:tabs>
        <w:spacing w:after="120"/>
        <w:ind w:left="1247" w:firstLine="624"/>
      </w:pPr>
      <w:r w:rsidRPr="001E36BD">
        <w:rPr>
          <w:i/>
        </w:rPr>
        <w:t>Calls upon</w:t>
      </w:r>
      <w:r w:rsidRPr="001E36BD">
        <w:t xml:space="preserve"> the International Conference on Chemicals Management at its third session to review and evaluate the reports referred to in paragraphs 17 </w:t>
      </w:r>
      <w:r w:rsidRPr="001E36BD">
        <w:lastRenderedPageBreak/>
        <w:t>and 18 and to consider the adequacy of financial and technical arrangements for Strategic Approach implementation for action as appropriate.</w:t>
      </w:r>
    </w:p>
    <w:p w:rsidR="002F4632" w:rsidRDefault="002F4632"/>
    <w:sectPr w:rsidR="002F4632" w:rsidSect="008F4757">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AE4" w:rsidRDefault="00A12AE4" w:rsidP="00A12AE4">
      <w:r>
        <w:separator/>
      </w:r>
    </w:p>
  </w:endnote>
  <w:endnote w:type="continuationSeparator" w:id="0">
    <w:p w:rsidR="00A12AE4" w:rsidRDefault="00A12AE4" w:rsidP="00A12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AE4" w:rsidRDefault="00A12A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078887"/>
      <w:docPartObj>
        <w:docPartGallery w:val="Page Numbers (Bottom of Page)"/>
        <w:docPartUnique/>
      </w:docPartObj>
    </w:sdtPr>
    <w:sdtEndPr>
      <w:rPr>
        <w:noProof/>
      </w:rPr>
    </w:sdtEndPr>
    <w:sdtContent>
      <w:bookmarkStart w:id="0" w:name="_GoBack" w:displacedByCustomXml="prev"/>
      <w:bookmarkEnd w:id="0" w:displacedByCustomXml="prev"/>
      <w:p w:rsidR="00A12AE4" w:rsidRDefault="00A12AE4">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A12AE4" w:rsidRDefault="00A12A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AE4" w:rsidRDefault="00A12A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AE4" w:rsidRDefault="00A12AE4" w:rsidP="00A12AE4">
      <w:r>
        <w:separator/>
      </w:r>
    </w:p>
  </w:footnote>
  <w:footnote w:type="continuationSeparator" w:id="0">
    <w:p w:rsidR="00A12AE4" w:rsidRDefault="00A12AE4" w:rsidP="00A12A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AE4" w:rsidRDefault="00A12A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AE4" w:rsidRDefault="00A12A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AE4" w:rsidRDefault="00A12A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34843"/>
    <w:multiLevelType w:val="hybridMultilevel"/>
    <w:tmpl w:val="356E4A92"/>
    <w:lvl w:ilvl="0" w:tplc="3084BA46">
      <w:start w:val="1"/>
      <w:numFmt w:val="decimal"/>
      <w:lvlText w:val="%1."/>
      <w:lvlJc w:val="left"/>
      <w:pPr>
        <w:tabs>
          <w:tab w:val="num" w:pos="540"/>
        </w:tabs>
        <w:ind w:left="540" w:hanging="360"/>
      </w:pPr>
      <w:rPr>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inkAnnotation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AE4"/>
    <w:rsid w:val="002F4632"/>
    <w:rsid w:val="00743C85"/>
    <w:rsid w:val="008F4757"/>
    <w:rsid w:val="00A12A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AE4"/>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E4"/>
    <w:pPr>
      <w:tabs>
        <w:tab w:val="center" w:pos="4513"/>
        <w:tab w:val="right" w:pos="9026"/>
      </w:tabs>
    </w:pPr>
  </w:style>
  <w:style w:type="character" w:customStyle="1" w:styleId="HeaderChar">
    <w:name w:val="Header Char"/>
    <w:basedOn w:val="DefaultParagraphFont"/>
    <w:link w:val="Header"/>
    <w:uiPriority w:val="99"/>
    <w:rsid w:val="00A12AE4"/>
    <w:rPr>
      <w:rFonts w:ascii="Times New Roman" w:eastAsia="SimSun" w:hAnsi="Times New Roman" w:cs="Times New Roman"/>
      <w:sz w:val="24"/>
      <w:szCs w:val="24"/>
    </w:rPr>
  </w:style>
  <w:style w:type="paragraph" w:styleId="Footer">
    <w:name w:val="footer"/>
    <w:basedOn w:val="Normal"/>
    <w:link w:val="FooterChar"/>
    <w:uiPriority w:val="99"/>
    <w:unhideWhenUsed/>
    <w:rsid w:val="00A12AE4"/>
    <w:pPr>
      <w:tabs>
        <w:tab w:val="center" w:pos="4513"/>
        <w:tab w:val="right" w:pos="9026"/>
      </w:tabs>
    </w:pPr>
  </w:style>
  <w:style w:type="character" w:customStyle="1" w:styleId="FooterChar">
    <w:name w:val="Footer Char"/>
    <w:basedOn w:val="DefaultParagraphFont"/>
    <w:link w:val="Footer"/>
    <w:uiPriority w:val="99"/>
    <w:rsid w:val="00A12AE4"/>
    <w:rPr>
      <w:rFonts w:ascii="Times New Roman" w:eastAsia="SimSu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AE4"/>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E4"/>
    <w:pPr>
      <w:tabs>
        <w:tab w:val="center" w:pos="4513"/>
        <w:tab w:val="right" w:pos="9026"/>
      </w:tabs>
    </w:pPr>
  </w:style>
  <w:style w:type="character" w:customStyle="1" w:styleId="HeaderChar">
    <w:name w:val="Header Char"/>
    <w:basedOn w:val="DefaultParagraphFont"/>
    <w:link w:val="Header"/>
    <w:uiPriority w:val="99"/>
    <w:rsid w:val="00A12AE4"/>
    <w:rPr>
      <w:rFonts w:ascii="Times New Roman" w:eastAsia="SimSun" w:hAnsi="Times New Roman" w:cs="Times New Roman"/>
      <w:sz w:val="24"/>
      <w:szCs w:val="24"/>
    </w:rPr>
  </w:style>
  <w:style w:type="paragraph" w:styleId="Footer">
    <w:name w:val="footer"/>
    <w:basedOn w:val="Normal"/>
    <w:link w:val="FooterChar"/>
    <w:uiPriority w:val="99"/>
    <w:unhideWhenUsed/>
    <w:rsid w:val="00A12AE4"/>
    <w:pPr>
      <w:tabs>
        <w:tab w:val="center" w:pos="4513"/>
        <w:tab w:val="right" w:pos="9026"/>
      </w:tabs>
    </w:pPr>
  </w:style>
  <w:style w:type="character" w:customStyle="1" w:styleId="FooterChar">
    <w:name w:val="Footer Char"/>
    <w:basedOn w:val="DefaultParagraphFont"/>
    <w:link w:val="Footer"/>
    <w:uiPriority w:val="99"/>
    <w:rsid w:val="00A12AE4"/>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ALSUBAEI</dc:creator>
  <cp:lastModifiedBy>ALSUBAEI</cp:lastModifiedBy>
  <cp:revision>1</cp:revision>
  <dcterms:created xsi:type="dcterms:W3CDTF">2016-08-19T07:06:00Z</dcterms:created>
  <dcterms:modified xsi:type="dcterms:W3CDTF">2016-08-19T07:07:00Z</dcterms:modified>
</cp:coreProperties>
</file>