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FB8" w:rsidRPr="00EE6EA5" w:rsidRDefault="00647FB8" w:rsidP="00647FB8">
      <w:pPr>
        <w:spacing w:before="240" w:after="240"/>
        <w:ind w:left="624"/>
        <w:rPr>
          <w:b/>
        </w:rPr>
      </w:pPr>
      <w:bookmarkStart w:id="0" w:name="_GoBack"/>
      <w:r w:rsidRPr="00EE6EA5">
        <w:rPr>
          <w:b/>
        </w:rPr>
        <w:t>II/2: Regional activities and coordination</w:t>
      </w:r>
      <w:r w:rsidRPr="00EE6EA5" w:rsidDel="000D64EF">
        <w:rPr>
          <w:b/>
        </w:rPr>
        <w:t xml:space="preserve"> </w:t>
      </w:r>
    </w:p>
    <w:bookmarkEnd w:id="0"/>
    <w:p w:rsidR="00647FB8" w:rsidRPr="0098655B" w:rsidRDefault="00647FB8" w:rsidP="00647FB8">
      <w:pPr>
        <w:spacing w:after="120"/>
        <w:ind w:left="1247" w:firstLine="624"/>
      </w:pPr>
      <w:r w:rsidRPr="0098655B">
        <w:rPr>
          <w:i/>
        </w:rPr>
        <w:t>The Conference</w:t>
      </w:r>
      <w:r w:rsidRPr="0098655B">
        <w:t>,</w:t>
      </w:r>
    </w:p>
    <w:p w:rsidR="00647FB8" w:rsidRDefault="00647FB8" w:rsidP="00647FB8">
      <w:pPr>
        <w:spacing w:after="120"/>
        <w:ind w:left="1247" w:firstLine="624"/>
      </w:pPr>
      <w:r>
        <w:rPr>
          <w:i/>
        </w:rPr>
        <w:t>Recalling</w:t>
      </w:r>
      <w:r>
        <w:t xml:space="preserve"> the importance accorded to regional meetings in paragraph 26 of the Overarching Policy Strategy</w:t>
      </w:r>
      <w:r>
        <w:rPr>
          <w:rStyle w:val="FootnoteReference"/>
        </w:rPr>
        <w:footnoteReference w:id="1"/>
      </w:r>
      <w:r>
        <w:t xml:space="preserve"> and in resolution I/1 of the Conference,</w:t>
      </w:r>
    </w:p>
    <w:p w:rsidR="00647FB8" w:rsidRDefault="00647FB8" w:rsidP="00647FB8">
      <w:pPr>
        <w:spacing w:after="120"/>
        <w:ind w:left="1247" w:firstLine="624"/>
      </w:pPr>
      <w:r w:rsidRPr="001845F3">
        <w:rPr>
          <w:i/>
        </w:rPr>
        <w:t>Noting</w:t>
      </w:r>
      <w:r>
        <w:t xml:space="preserve"> the outcomes of the regional meetings held since the first session of the Conference,</w:t>
      </w:r>
    </w:p>
    <w:p w:rsidR="00647FB8" w:rsidRDefault="00647FB8" w:rsidP="00647FB8">
      <w:pPr>
        <w:spacing w:after="120"/>
        <w:ind w:left="1247" w:firstLine="624"/>
      </w:pPr>
      <w:r>
        <w:rPr>
          <w:i/>
        </w:rPr>
        <w:t>Recognizing</w:t>
      </w:r>
      <w:r>
        <w:t xml:space="preserve"> that priorities and capacities for implementation of the Strategic Approach vary among regions and </w:t>
      </w:r>
      <w:proofErr w:type="spellStart"/>
      <w:r>
        <w:t>subregions</w:t>
      </w:r>
      <w:proofErr w:type="spellEnd"/>
      <w:r>
        <w:t xml:space="preserve"> according to their different economic and other circumstances,</w:t>
      </w:r>
    </w:p>
    <w:p w:rsidR="00647FB8" w:rsidRDefault="00647FB8" w:rsidP="00647FB8">
      <w:pPr>
        <w:spacing w:after="120"/>
        <w:ind w:left="1247" w:firstLine="624"/>
      </w:pPr>
      <w:r>
        <w:t>1.</w:t>
      </w:r>
      <w:r>
        <w:tab/>
      </w:r>
      <w:r>
        <w:rPr>
          <w:i/>
        </w:rPr>
        <w:t>Expresses appreciation</w:t>
      </w:r>
      <w:r>
        <w:t xml:space="preserve"> to the Governments and organizations which have facilitated the holding of regional meetings during the period between the first and second sessions of the Conference by providing financial and in-kind resources as sponsors and hosts;</w:t>
      </w:r>
    </w:p>
    <w:p w:rsidR="00647FB8" w:rsidRDefault="00647FB8" w:rsidP="00647FB8"/>
    <w:p w:rsidR="00647FB8" w:rsidRDefault="00647FB8" w:rsidP="00647FB8">
      <w:pPr>
        <w:spacing w:after="120"/>
        <w:ind w:left="1247" w:firstLine="624"/>
      </w:pPr>
      <w:r>
        <w:tab/>
        <w:t>2.</w:t>
      </w:r>
      <w:r>
        <w:tab/>
      </w:r>
      <w:r>
        <w:rPr>
          <w:i/>
        </w:rPr>
        <w:t xml:space="preserve">Commends </w:t>
      </w:r>
      <w:r>
        <w:t xml:space="preserve">the establishment of regional coordination mechanisms and the development of terms of reference for regional representatives by the African, Asian-Pacific, Central and Eastern European and Latin American and </w:t>
      </w:r>
      <w:smartTag w:uri="urn:schemas-microsoft-com:office:smarttags" w:element="place">
        <w:r>
          <w:t>Caribbean</w:t>
        </w:r>
      </w:smartTag>
      <w:r>
        <w:t xml:space="preserve"> regions;</w:t>
      </w:r>
    </w:p>
    <w:p w:rsidR="00647FB8" w:rsidRDefault="00647FB8" w:rsidP="00647FB8">
      <w:pPr>
        <w:spacing w:after="120"/>
        <w:ind w:left="1247" w:firstLine="624"/>
      </w:pPr>
      <w:r>
        <w:tab/>
        <w:t>3.</w:t>
      </w:r>
      <w:r>
        <w:tab/>
      </w:r>
      <w:r>
        <w:rPr>
          <w:i/>
        </w:rPr>
        <w:t>Underlines</w:t>
      </w:r>
      <w:r>
        <w:t xml:space="preserve"> the important role of regional meetings and coordination mechanisms in enabling stakeholders in each region to exchange experience and identify priority needs in relation to implementation of the Strategic Approach and to develop regional positions on key issues;</w:t>
      </w:r>
    </w:p>
    <w:p w:rsidR="00647FB8" w:rsidRDefault="00647FB8" w:rsidP="00647FB8">
      <w:pPr>
        <w:spacing w:after="120"/>
        <w:ind w:left="1247" w:firstLine="624"/>
      </w:pPr>
      <w:r>
        <w:tab/>
        <w:t xml:space="preserve">4. </w:t>
      </w:r>
      <w:r>
        <w:tab/>
      </w:r>
      <w:r>
        <w:rPr>
          <w:i/>
        </w:rPr>
        <w:t>Encourages</w:t>
      </w:r>
      <w:r>
        <w:t xml:space="preserve"> regions and </w:t>
      </w:r>
      <w:proofErr w:type="spellStart"/>
      <w:r>
        <w:t>subregions</w:t>
      </w:r>
      <w:proofErr w:type="spellEnd"/>
      <w:r>
        <w:t xml:space="preserve">, where appropriate, to identify common priorities, develop Strategic Approach regional implementation plans and consider regional or </w:t>
      </w:r>
      <w:proofErr w:type="spellStart"/>
      <w:r>
        <w:t>subregional</w:t>
      </w:r>
      <w:proofErr w:type="spellEnd"/>
      <w:r>
        <w:t xml:space="preserve"> approaches and projects, including projects which may be supported under the Quick Start </w:t>
      </w:r>
      <w:proofErr w:type="spellStart"/>
      <w:r>
        <w:t>Programme</w:t>
      </w:r>
      <w:proofErr w:type="spellEnd"/>
      <w:r>
        <w:t>;</w:t>
      </w:r>
    </w:p>
    <w:p w:rsidR="00647FB8" w:rsidRDefault="00647FB8" w:rsidP="00647FB8">
      <w:pPr>
        <w:spacing w:after="120"/>
        <w:ind w:left="1247" w:firstLine="624"/>
      </w:pPr>
      <w:r>
        <w:t>5.</w:t>
      </w:r>
      <w:r>
        <w:tab/>
      </w:r>
      <w:r>
        <w:rPr>
          <w:i/>
        </w:rPr>
        <w:t>Also encourages</w:t>
      </w:r>
      <w:r>
        <w:t xml:space="preserve"> regional networks to discuss the further development and implementation of the Strategic Approach, including new emerging policy issues;</w:t>
      </w:r>
    </w:p>
    <w:p w:rsidR="00647FB8" w:rsidRDefault="00647FB8" w:rsidP="00647FB8">
      <w:pPr>
        <w:spacing w:after="120"/>
        <w:ind w:left="1247" w:firstLine="624"/>
      </w:pPr>
      <w:r>
        <w:t>6.</w:t>
      </w:r>
      <w:r>
        <w:tab/>
      </w:r>
      <w:r>
        <w:rPr>
          <w:i/>
        </w:rPr>
        <w:t>Further encourages</w:t>
      </w:r>
      <w:r>
        <w:t xml:space="preserve"> regional organizations and financial institutions to provide assistance for Strategic Approach implementation within their regions;</w:t>
      </w:r>
    </w:p>
    <w:p w:rsidR="00647FB8" w:rsidRDefault="00647FB8" w:rsidP="00647FB8">
      <w:pPr>
        <w:spacing w:after="120"/>
        <w:ind w:left="1247" w:firstLine="624"/>
      </w:pPr>
      <w:r w:rsidDel="0098655B">
        <w:t>7</w:t>
      </w:r>
      <w:r>
        <w:t xml:space="preserve">. </w:t>
      </w:r>
      <w:r>
        <w:tab/>
      </w:r>
      <w:r>
        <w:rPr>
          <w:i/>
        </w:rPr>
        <w:t>Calls upon</w:t>
      </w:r>
      <w:r>
        <w:t xml:space="preserve"> Governments and organizations in a position to do so to provide financial and in-kind resources to enable at least one meeting for each of the five United Nations regions to be organized in the coming intersessional period;</w:t>
      </w:r>
    </w:p>
    <w:p w:rsidR="00647FB8" w:rsidRDefault="00647FB8" w:rsidP="00647FB8">
      <w:pPr>
        <w:spacing w:after="120"/>
        <w:ind w:left="1247" w:firstLine="624"/>
      </w:pPr>
      <w:r>
        <w:t>8.</w:t>
      </w:r>
      <w:r>
        <w:tab/>
      </w:r>
      <w:r>
        <w:rPr>
          <w:i/>
        </w:rPr>
        <w:t>Requests</w:t>
      </w:r>
      <w:r>
        <w:t xml:space="preserve"> the secretariat, within available resources, to assist in regional coordination through the provision of teleconference services, use of the Strategic Approach website and other relevant measures;</w:t>
      </w:r>
      <w:r>
        <w:tab/>
      </w:r>
    </w:p>
    <w:p w:rsidR="00647FB8" w:rsidRDefault="00647FB8" w:rsidP="00647FB8">
      <w:pPr>
        <w:spacing w:after="120"/>
        <w:ind w:left="1247" w:firstLine="624"/>
      </w:pPr>
      <w:r w:rsidDel="0098655B">
        <w:lastRenderedPageBreak/>
        <w:t>9</w:t>
      </w:r>
      <w:r>
        <w:t>.</w:t>
      </w:r>
      <w:r>
        <w:tab/>
      </w:r>
      <w:r>
        <w:rPr>
          <w:i/>
        </w:rPr>
        <w:t>Encourage</w:t>
      </w:r>
      <w:r>
        <w:t>s regional focal points to continue to play a facilitative role within their regions including undertaking activities as determined within each region such as</w:t>
      </w:r>
      <w:r>
        <w:rPr>
          <w:i/>
        </w:rPr>
        <w:t xml:space="preserve">, </w:t>
      </w:r>
      <w:r w:rsidRPr="0098655B">
        <w:t>among others</w:t>
      </w:r>
      <w:r>
        <w:t>: chairing regional meetings, disseminating information of interest to focal points within their region, collecting views from Strategic Approach national focal points on matters of interest to the region, and assisting in the flow of information and views from the region to its Bureau member, as appropriate;</w:t>
      </w:r>
    </w:p>
    <w:p w:rsidR="00647FB8" w:rsidRDefault="00647FB8" w:rsidP="00647FB8">
      <w:pPr>
        <w:spacing w:after="120"/>
        <w:ind w:left="1247" w:firstLine="624"/>
      </w:pPr>
      <w:r>
        <w:t>10.</w:t>
      </w:r>
      <w:r>
        <w:tab/>
      </w:r>
      <w:r>
        <w:rPr>
          <w:i/>
        </w:rPr>
        <w:t>Requests</w:t>
      </w:r>
      <w:r>
        <w:t xml:space="preserve"> regional focal points to report to the Conference at its third session on the outcomes of their regional meetings and other regional activities during the coming intersessional period.</w:t>
      </w:r>
    </w:p>
    <w:p w:rsidR="002F4632" w:rsidRDefault="002F4632"/>
    <w:sectPr w:rsidR="002F4632" w:rsidSect="008F475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FB8" w:rsidRDefault="00647FB8" w:rsidP="00647FB8">
      <w:r>
        <w:separator/>
      </w:r>
    </w:p>
  </w:endnote>
  <w:endnote w:type="continuationSeparator" w:id="0">
    <w:p w:rsidR="00647FB8" w:rsidRDefault="00647FB8" w:rsidP="00647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FB8" w:rsidRDefault="00647FB8" w:rsidP="00647FB8">
      <w:r>
        <w:separator/>
      </w:r>
    </w:p>
  </w:footnote>
  <w:footnote w:type="continuationSeparator" w:id="0">
    <w:p w:rsidR="00647FB8" w:rsidRDefault="00647FB8" w:rsidP="00647FB8">
      <w:r>
        <w:continuationSeparator/>
      </w:r>
    </w:p>
  </w:footnote>
  <w:footnote w:id="1">
    <w:p w:rsidR="00647FB8" w:rsidRPr="0098655B" w:rsidRDefault="00647FB8" w:rsidP="00647FB8">
      <w:pPr>
        <w:pStyle w:val="FootnoteText"/>
        <w:spacing w:before="60"/>
        <w:ind w:left="1247"/>
        <w:rPr>
          <w:sz w:val="18"/>
        </w:rPr>
      </w:pPr>
      <w:r w:rsidRPr="0098655B">
        <w:rPr>
          <w:rStyle w:val="FootnoteReference"/>
          <w:sz w:val="18"/>
        </w:rPr>
        <w:footnoteRef/>
      </w:r>
      <w:r w:rsidRPr="0098655B">
        <w:rPr>
          <w:sz w:val="18"/>
        </w:rPr>
        <w:tab/>
      </w:r>
      <w:r w:rsidRPr="00852238">
        <w:rPr>
          <w:i/>
          <w:iCs/>
          <w:sz w:val="18"/>
        </w:rPr>
        <w:t>Strategic Approach to International Chemicals Management: SAICM Texts and Resolutions of the International Conference on Chemicals Management</w:t>
      </w:r>
      <w:r w:rsidRPr="00403A71">
        <w:rPr>
          <w:sz w:val="18"/>
        </w:rPr>
        <w:t xml:space="preserve"> (ISBN 978-92-807-2751-7)</w:t>
      </w:r>
      <w:r>
        <w:rPr>
          <w:sz w:val="18"/>
        </w:rPr>
        <w:t>.</w:t>
      </w:r>
      <w:r w:rsidRPr="0098655B">
        <w:rPr>
          <w:sz w:val="18"/>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revisionView w:inkAnnotation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FB8"/>
    <w:rsid w:val="002F4632"/>
    <w:rsid w:val="00647FB8"/>
    <w:rsid w:val="00743C85"/>
    <w:rsid w:val="008F47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FB8"/>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Geneva 9,Font: Geneva 9,Boston 10,f,DNV-FT,Footnote01"/>
    <w:basedOn w:val="Normal"/>
    <w:link w:val="FootnoteTextChar"/>
    <w:semiHidden/>
    <w:rsid w:val="00647FB8"/>
    <w:rPr>
      <w:rFonts w:eastAsia="MS Mincho"/>
      <w:sz w:val="22"/>
      <w:szCs w:val="20"/>
      <w:lang w:val="en-GB" w:eastAsia="en-US"/>
    </w:rPr>
  </w:style>
  <w:style w:type="character" w:customStyle="1" w:styleId="FootnoteTextChar">
    <w:name w:val="Footnote Text Char"/>
    <w:basedOn w:val="DefaultParagraphFont"/>
    <w:link w:val="FootnoteText"/>
    <w:semiHidden/>
    <w:rsid w:val="00647FB8"/>
    <w:rPr>
      <w:rFonts w:ascii="Times New Roman" w:eastAsia="MS Mincho" w:hAnsi="Times New Roman" w:cs="Times New Roman"/>
      <w:szCs w:val="20"/>
      <w:lang w:val="en-GB" w:eastAsia="en-US"/>
    </w:rPr>
  </w:style>
  <w:style w:type="character" w:styleId="FootnoteReference">
    <w:name w:val="footnote reference"/>
    <w:aliases w:val="16 Point,Superscript 6 Point"/>
    <w:semiHidden/>
    <w:rsid w:val="00647FB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FB8"/>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Geneva 9,Font: Geneva 9,Boston 10,f,DNV-FT,Footnote01"/>
    <w:basedOn w:val="Normal"/>
    <w:link w:val="FootnoteTextChar"/>
    <w:semiHidden/>
    <w:rsid w:val="00647FB8"/>
    <w:rPr>
      <w:rFonts w:eastAsia="MS Mincho"/>
      <w:sz w:val="22"/>
      <w:szCs w:val="20"/>
      <w:lang w:val="en-GB" w:eastAsia="en-US"/>
    </w:rPr>
  </w:style>
  <w:style w:type="character" w:customStyle="1" w:styleId="FootnoteTextChar">
    <w:name w:val="Footnote Text Char"/>
    <w:basedOn w:val="DefaultParagraphFont"/>
    <w:link w:val="FootnoteText"/>
    <w:semiHidden/>
    <w:rsid w:val="00647FB8"/>
    <w:rPr>
      <w:rFonts w:ascii="Times New Roman" w:eastAsia="MS Mincho" w:hAnsi="Times New Roman" w:cs="Times New Roman"/>
      <w:szCs w:val="20"/>
      <w:lang w:val="en-GB" w:eastAsia="en-US"/>
    </w:rPr>
  </w:style>
  <w:style w:type="character" w:styleId="FootnoteReference">
    <w:name w:val="footnote reference"/>
    <w:aliases w:val="16 Point,Superscript 6 Point"/>
    <w:semiHidden/>
    <w:rsid w:val="00647F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United Nations Office at Geneva</Company>
  <LinksUpToDate>false</LinksUpToDate>
  <CharactersWithSpaces>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ALSUBAEI</dc:creator>
  <cp:lastModifiedBy>ALSUBAEI</cp:lastModifiedBy>
  <cp:revision>1</cp:revision>
  <dcterms:created xsi:type="dcterms:W3CDTF">2016-08-19T06:59:00Z</dcterms:created>
  <dcterms:modified xsi:type="dcterms:W3CDTF">2016-08-19T07:00:00Z</dcterms:modified>
</cp:coreProperties>
</file>