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4C0DD9">
      <w:hyperlink r:id="rId6" w:history="1">
        <w:r w:rsidR="00AD61E2" w:rsidRPr="00D97514">
          <w:rPr>
            <w:rStyle w:val="Hyperlink"/>
          </w:rPr>
          <w:t>https://www.paehealth.org/images/pdf/PA_eHealth_Appendix_M_-_Use_Cases.pdf</w:t>
        </w:r>
      </w:hyperlink>
    </w:p>
    <w:p w:rsidR="00E43056" w:rsidRDefault="004C0DD9">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FA3A7F">
        <w:t>5.6.1</w:t>
      </w:r>
      <w:r>
        <w:fldChar w:fldCharType="end"/>
      </w:r>
      <w:r w:rsidR="00683B87">
        <w:t xml:space="preserve"> </w:t>
      </w:r>
      <w:r w:rsidR="00683B87">
        <w:fldChar w:fldCharType="begin"/>
      </w:r>
      <w:r w:rsidR="00683B87">
        <w:instrText xml:space="preserve"> REF _Ref459193192 \h </w:instrText>
      </w:r>
      <w:r w:rsidR="00683B87">
        <w:fldChar w:fldCharType="separate"/>
      </w:r>
      <w:r w:rsidR="00FA3A7F">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FA3A7F">
        <w:t>5.6.2</w:t>
      </w:r>
      <w:r>
        <w:fldChar w:fldCharType="end"/>
      </w:r>
      <w:r>
        <w:t xml:space="preserve"> </w:t>
      </w:r>
      <w:r>
        <w:fldChar w:fldCharType="begin"/>
      </w:r>
      <w:r>
        <w:instrText xml:space="preserve"> REF _Ref459193028 \h </w:instrText>
      </w:r>
      <w:r>
        <w:fldChar w:fldCharType="separate"/>
      </w:r>
      <w:r w:rsidR="00FA3A7F">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FA3A7F">
        <w:t>5.6.3</w:t>
      </w:r>
      <w:r>
        <w:fldChar w:fldCharType="end"/>
      </w:r>
      <w:r>
        <w:t xml:space="preserve"> </w:t>
      </w:r>
      <w:r>
        <w:fldChar w:fldCharType="begin"/>
      </w:r>
      <w:r>
        <w:instrText xml:space="preserve"> REF _Ref459193069 \h </w:instrText>
      </w:r>
      <w:r>
        <w:fldChar w:fldCharType="separate"/>
      </w:r>
      <w:r w:rsidR="00FA3A7F">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FA3A7F">
        <w:t>5.6.4</w:t>
      </w:r>
      <w:r>
        <w:fldChar w:fldCharType="end"/>
      </w:r>
      <w:r>
        <w:t xml:space="preserve"> </w:t>
      </w:r>
      <w:r>
        <w:fldChar w:fldCharType="begin"/>
      </w:r>
      <w:r>
        <w:instrText xml:space="preserve"> REF _Ref459193249 \h </w:instrText>
      </w:r>
      <w:r>
        <w:fldChar w:fldCharType="separate"/>
      </w:r>
      <w:r w:rsidR="00FA3A7F">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rsidR="00FA3A7F">
        <w:t>5.6.6</w:t>
      </w:r>
      <w:r>
        <w:fldChar w:fldCharType="end"/>
      </w:r>
      <w:r>
        <w:t xml:space="preserve"> </w:t>
      </w:r>
      <w:r>
        <w:fldChar w:fldCharType="begin"/>
      </w:r>
      <w:r>
        <w:instrText xml:space="preserve"> REF _Ref459193280 \h </w:instrText>
      </w:r>
      <w:r>
        <w:fldChar w:fldCharType="separate"/>
      </w:r>
      <w:r w:rsidR="00FA3A7F">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FA3A7F">
        <w:t>5.6.7</w:t>
      </w:r>
      <w:r>
        <w:fldChar w:fldCharType="end"/>
      </w:r>
      <w:r>
        <w:t xml:space="preserve"> </w:t>
      </w:r>
      <w:r>
        <w:fldChar w:fldCharType="begin"/>
      </w:r>
      <w:r>
        <w:instrText xml:space="preserve"> REF _Ref459193299 \h </w:instrText>
      </w:r>
      <w:r>
        <w:fldChar w:fldCharType="separate"/>
      </w:r>
      <w:r w:rsidR="00FA3A7F">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Default="00650736" w:rsidP="00B75D69">
      <w:r>
        <w:t xml:space="preserve">Question: </w:t>
      </w:r>
      <w:r w:rsidR="00486512">
        <w:t>Does access to specific patient data always give a health professional permission to send it to someone via Direct?</w:t>
      </w:r>
    </w:p>
    <w:p w:rsidR="00D84517" w:rsidRDefault="00D84517" w:rsidP="00D84517">
      <w:pPr>
        <w:pStyle w:val="ListParagraph"/>
        <w:numPr>
          <w:ilvl w:val="0"/>
          <w:numId w:val="41"/>
        </w:numPr>
      </w:pPr>
      <w:r>
        <w:t>Health Professional initiates the sending of a Direct message about a patient</w:t>
      </w:r>
    </w:p>
    <w:p w:rsidR="007460A5" w:rsidRDefault="007460A5" w:rsidP="007460A5">
      <w:pPr>
        <w:pStyle w:val="ListParagraph"/>
        <w:numPr>
          <w:ilvl w:val="1"/>
          <w:numId w:val="41"/>
        </w:numPr>
      </w:pPr>
      <w:r>
        <w:t>Health Professional is unable to send via Direct because they do not have permission or they do not have a public/private k</w:t>
      </w:r>
      <w:r w:rsidR="005779F3">
        <w:t>ey configured.</w:t>
      </w:r>
    </w:p>
    <w:p w:rsidR="00D84517" w:rsidRDefault="00D84517" w:rsidP="00D84517">
      <w:pPr>
        <w:pStyle w:val="ListParagraph"/>
        <w:numPr>
          <w:ilvl w:val="0"/>
          <w:numId w:val="41"/>
        </w:numPr>
      </w:pPr>
      <w:r>
        <w:t xml:space="preserve">System presents Health Professional with which parts of the patient’s health record can be sent based on system configuration and the health professional’s privileges and the patient’s consents. If a part is not available to send, the system should still display it in a disabled form with the ability for the health professional to identify why they can’t send it. If the health professional could request access, </w:t>
      </w:r>
      <w:r w:rsidR="007B7177">
        <w:t>there should be an option displayed for the health professional to do so.</w:t>
      </w:r>
    </w:p>
    <w:p w:rsidR="007B7177" w:rsidRDefault="007B7177" w:rsidP="007B7177">
      <w:pPr>
        <w:pStyle w:val="ListParagraph"/>
      </w:pPr>
      <w:r>
        <w:t>NOTE: a certain minimal set of identifying attributes are always included.</w:t>
      </w:r>
    </w:p>
    <w:p w:rsidR="007B7177" w:rsidRDefault="007B7177" w:rsidP="00D84517">
      <w:pPr>
        <w:pStyle w:val="ListParagraph"/>
        <w:numPr>
          <w:ilvl w:val="0"/>
          <w:numId w:val="41"/>
        </w:numPr>
      </w:pPr>
      <w:r>
        <w:t>Health Professional selects which portions of the patient’s health record to include.</w:t>
      </w:r>
    </w:p>
    <w:p w:rsidR="007B7177" w:rsidRDefault="007B7177" w:rsidP="00D84517">
      <w:pPr>
        <w:pStyle w:val="ListParagraph"/>
        <w:numPr>
          <w:ilvl w:val="0"/>
          <w:numId w:val="41"/>
        </w:numPr>
      </w:pPr>
      <w:bookmarkStart w:id="9" w:name="_Ref462987506"/>
      <w:r>
        <w:t>System asks the Health Professional to select the recipient(s) of the Direct message</w:t>
      </w:r>
      <w:bookmarkEnd w:id="9"/>
    </w:p>
    <w:p w:rsidR="00791851" w:rsidRDefault="00791851" w:rsidP="00D84517">
      <w:pPr>
        <w:pStyle w:val="ListParagraph"/>
        <w:numPr>
          <w:ilvl w:val="0"/>
          <w:numId w:val="41"/>
        </w:numPr>
      </w:pPr>
      <w:bookmarkStart w:id="10" w:name="_Ref462987343"/>
      <w:r>
        <w:t>Health Professional chooses to lookup the recipient in the directory by entering their name, specialty, and/or geographic location</w:t>
      </w:r>
      <w:bookmarkEnd w:id="10"/>
    </w:p>
    <w:p w:rsidR="008D0209" w:rsidRDefault="008D0209" w:rsidP="008D0209">
      <w:pPr>
        <w:pStyle w:val="ListParagraph"/>
        <w:numPr>
          <w:ilvl w:val="1"/>
          <w:numId w:val="41"/>
        </w:numPr>
      </w:pPr>
      <w:r>
        <w:t>Alternative: Health Professional enters Direct e-mail address and selects the recipient’s certificate.</w:t>
      </w:r>
    </w:p>
    <w:p w:rsidR="00791851" w:rsidRDefault="00791851" w:rsidP="00D84517">
      <w:pPr>
        <w:pStyle w:val="ListParagraph"/>
        <w:numPr>
          <w:ilvl w:val="0"/>
          <w:numId w:val="41"/>
        </w:numPr>
      </w:pPr>
      <w:r>
        <w:t xml:space="preserve">System presents matching </w:t>
      </w:r>
      <w:r w:rsidR="008D0209">
        <w:t>people from the directory.</w:t>
      </w:r>
    </w:p>
    <w:p w:rsidR="008D0209" w:rsidRDefault="008D0209" w:rsidP="008D0209">
      <w:pPr>
        <w:pStyle w:val="ListParagraph"/>
        <w:numPr>
          <w:ilvl w:val="1"/>
          <w:numId w:val="41"/>
        </w:numPr>
      </w:pPr>
      <w:r>
        <w:t xml:space="preserve">Alternative: No matching people are found in directory. System returns to step </w:t>
      </w:r>
      <w:r>
        <w:fldChar w:fldCharType="begin"/>
      </w:r>
      <w:r>
        <w:instrText xml:space="preserve"> REF _Ref462987506 \r \h </w:instrText>
      </w:r>
      <w:r>
        <w:fldChar w:fldCharType="separate"/>
      </w:r>
      <w:r>
        <w:t>4</w:t>
      </w:r>
      <w:r>
        <w:fldChar w:fldCharType="end"/>
      </w:r>
      <w:r>
        <w:t>.</w:t>
      </w:r>
    </w:p>
    <w:p w:rsidR="00791851" w:rsidRDefault="008D0209" w:rsidP="00D84517">
      <w:pPr>
        <w:pStyle w:val="ListParagraph"/>
        <w:numPr>
          <w:ilvl w:val="0"/>
          <w:numId w:val="41"/>
        </w:numPr>
      </w:pPr>
      <w:r>
        <w:t>Health Professional selects one as a recipient and indicates that he is done identifying recipients.</w:t>
      </w:r>
    </w:p>
    <w:p w:rsidR="008D0209" w:rsidRDefault="008D0209" w:rsidP="008D0209">
      <w:pPr>
        <w:pStyle w:val="ListParagraph"/>
        <w:numPr>
          <w:ilvl w:val="1"/>
          <w:numId w:val="41"/>
        </w:numPr>
      </w:pPr>
      <w:r>
        <w:t xml:space="preserve">Alternative: Health Professional returns to step </w:t>
      </w:r>
      <w:r>
        <w:fldChar w:fldCharType="begin"/>
      </w:r>
      <w:r>
        <w:instrText xml:space="preserve"> REF _Ref462987343 \r \h </w:instrText>
      </w:r>
      <w:r>
        <w:fldChar w:fldCharType="separate"/>
      </w:r>
      <w:r>
        <w:t>5</w:t>
      </w:r>
      <w:r>
        <w:fldChar w:fldCharType="end"/>
      </w:r>
      <w:r>
        <w:t xml:space="preserve"> without selecting any of the matching people (if any).</w:t>
      </w:r>
    </w:p>
    <w:p w:rsidR="008D0209" w:rsidRDefault="008D0209" w:rsidP="008D0209">
      <w:pPr>
        <w:pStyle w:val="ListParagraph"/>
        <w:numPr>
          <w:ilvl w:val="1"/>
          <w:numId w:val="41"/>
        </w:numPr>
      </w:pPr>
      <w:r>
        <w:t>Alternative 2: Health Professional selects multiple recipients and indicates that he is done identifying recipients.</w:t>
      </w:r>
    </w:p>
    <w:p w:rsidR="008D0209" w:rsidRDefault="008D0209" w:rsidP="008D0209">
      <w:pPr>
        <w:pStyle w:val="ListParagraph"/>
        <w:numPr>
          <w:ilvl w:val="1"/>
          <w:numId w:val="41"/>
        </w:numPr>
      </w:pPr>
      <w:r>
        <w:t xml:space="preserve">Alternative 3: Health Professional selects one person and then returns to step </w:t>
      </w:r>
      <w:r>
        <w:fldChar w:fldCharType="begin"/>
      </w:r>
      <w:r>
        <w:instrText xml:space="preserve"> REF _Ref462987343 \r \h </w:instrText>
      </w:r>
      <w:r>
        <w:fldChar w:fldCharType="separate"/>
      </w:r>
      <w:r>
        <w:t>5</w:t>
      </w:r>
      <w:r>
        <w:fldChar w:fldCharType="end"/>
      </w:r>
      <w:r>
        <w:t xml:space="preserve"> to potentially add additional recipients.</w:t>
      </w:r>
    </w:p>
    <w:p w:rsidR="007B7177" w:rsidRDefault="007B7177" w:rsidP="00D84517">
      <w:pPr>
        <w:pStyle w:val="ListParagraph"/>
        <w:numPr>
          <w:ilvl w:val="0"/>
          <w:numId w:val="41"/>
        </w:numPr>
      </w:pPr>
      <w:bookmarkStart w:id="11" w:name="_Ref462987896"/>
      <w:r>
        <w:t>System asks the Health Professional to provide a subject for the message which it defaults to the patient’s name.</w:t>
      </w:r>
      <w:bookmarkEnd w:id="11"/>
    </w:p>
    <w:p w:rsidR="00791851" w:rsidRDefault="008D0209" w:rsidP="00D84517">
      <w:pPr>
        <w:pStyle w:val="ListParagraph"/>
        <w:numPr>
          <w:ilvl w:val="0"/>
          <w:numId w:val="41"/>
        </w:numPr>
      </w:pPr>
      <w:r>
        <w:t>Health Professional accepts default subject or changes subject and indicates that message should be sent.</w:t>
      </w:r>
    </w:p>
    <w:p w:rsidR="007B7177" w:rsidRDefault="007B7177" w:rsidP="00D84517">
      <w:pPr>
        <w:pStyle w:val="ListParagraph"/>
        <w:numPr>
          <w:ilvl w:val="0"/>
          <w:numId w:val="41"/>
        </w:numPr>
      </w:pPr>
      <w:r>
        <w:t>System retrieves the selected portions of the patient’s health record in C-</w:t>
      </w:r>
      <w:r w:rsidR="008D0209">
        <w:t>CDA format and creates a signed, encrypted S/MIME message for each selected recipient (encryption is based on recipient’s public certificate) and sends them via SMTP per Direct specification</w:t>
      </w:r>
      <w:r w:rsidR="00A46CCB">
        <w:t xml:space="preserve"> using the configured local Direct e-mail server</w:t>
      </w:r>
      <w:r w:rsidR="008D0209">
        <w:t>. Signature is done based on currently logged in user’s private key.</w:t>
      </w:r>
      <w:r w:rsidR="00263955">
        <w:t xml:space="preserve"> System presents Health Professional with a message to indicate that their message was sent to their recipients (recipient’s names are listed in confirmation message).</w:t>
      </w:r>
    </w:p>
    <w:p w:rsidR="00263955" w:rsidRDefault="00263955" w:rsidP="00263955">
      <w:pPr>
        <w:pStyle w:val="ListParagraph"/>
        <w:numPr>
          <w:ilvl w:val="1"/>
          <w:numId w:val="41"/>
        </w:numPr>
      </w:pPr>
      <w:r>
        <w:t>Alternative: Message sending fails and an error message is provided to the Health Professional. Message should support a way for the Health Professional to request technical assistance.</w:t>
      </w:r>
    </w:p>
    <w:p w:rsidR="007460A5" w:rsidRPr="00B75D69" w:rsidRDefault="007460A5" w:rsidP="00263955">
      <w:pPr>
        <w:pStyle w:val="ListParagraph"/>
        <w:numPr>
          <w:ilvl w:val="1"/>
          <w:numId w:val="41"/>
        </w:numPr>
      </w:pPr>
      <w:r>
        <w:t xml:space="preserve">Alternative 2: Invalid subject was entered. System returns to step </w:t>
      </w:r>
      <w:r>
        <w:fldChar w:fldCharType="begin"/>
      </w:r>
      <w:r>
        <w:instrText xml:space="preserve"> REF _Ref462987896 \r \h </w:instrText>
      </w:r>
      <w:r>
        <w:fldChar w:fldCharType="separate"/>
      </w:r>
      <w:r>
        <w:t>8</w:t>
      </w:r>
      <w:r>
        <w:fldChar w:fldCharType="end"/>
      </w:r>
      <w:r>
        <w: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2" w:name="_Ref459193192"/>
      <w:bookmarkStart w:id="13" w:name="_Ref457546012"/>
      <w:bookmarkStart w:id="14" w:name="_Ref457484385"/>
      <w:bookmarkStart w:id="15" w:name="_Ref459192755"/>
      <w:r>
        <w:t>Visualize Census Data and Synthetic P</w:t>
      </w:r>
      <w:r w:rsidR="00567BB7">
        <w:t>opulation [Population Health, v0</w:t>
      </w:r>
      <w:r>
        <w:t>]</w:t>
      </w:r>
      <w:bookmarkEnd w:id="12"/>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6" w:name="_Ref459193028"/>
      <w:bookmarkEnd w:id="13"/>
      <w:r>
        <w:t xml:space="preserve">Download </w:t>
      </w:r>
      <w:r w:rsidR="00C77A7D">
        <w:t xml:space="preserve">Synthetic </w:t>
      </w:r>
      <w:r>
        <w:t>Patients</w:t>
      </w:r>
      <w:bookmarkEnd w:id="14"/>
      <w:r w:rsidR="00567BB7">
        <w:t xml:space="preserve"> [Patient Record, v0</w:t>
      </w:r>
      <w:r w:rsidR="005D75CB">
        <w:t>]</w:t>
      </w:r>
      <w:bookmarkEnd w:id="15"/>
      <w:bookmarkEnd w:id="16"/>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7" w:name="_Ref457546027"/>
      <w:bookmarkStart w:id="18" w:name="_Ref459193069"/>
      <w:bookmarkStart w:id="19" w:name="_Ref457484410"/>
      <w:r>
        <w:t>View Synthetic Patient</w:t>
      </w:r>
      <w:bookmarkEnd w:id="17"/>
      <w:r w:rsidR="00567BB7">
        <w:t xml:space="preserve"> [Patient Record, v0</w:t>
      </w:r>
      <w:r>
        <w:t>]</w:t>
      </w:r>
      <w:bookmarkEnd w:id="18"/>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CB0540">
        <w:t>5.6.1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20" w:name="_Ref459193249"/>
      <w:r>
        <w:t xml:space="preserve">Integration Test </w:t>
      </w:r>
      <w:r w:rsidR="00BE5DAC">
        <w:t xml:space="preserve">My </w:t>
      </w:r>
      <w:r>
        <w:t>FHIR client</w:t>
      </w:r>
      <w:bookmarkEnd w:id="19"/>
      <w:r w:rsidR="00567BB7">
        <w:t xml:space="preserve"> [Patient Record, v0</w:t>
      </w:r>
      <w:r w:rsidR="005D75CB">
        <w:t>]</w:t>
      </w:r>
      <w:bookmarkEnd w:id="20"/>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1" w:name="_Ref457484434"/>
      <w:bookmarkStart w:id="22" w:name="_Ref459193264"/>
      <w:r>
        <w:t xml:space="preserve">Integration Test </w:t>
      </w:r>
      <w:r w:rsidR="006B5730">
        <w:t xml:space="preserve">My </w:t>
      </w:r>
      <w:r>
        <w:t xml:space="preserve">Direct </w:t>
      </w:r>
      <w:r w:rsidR="006006CB">
        <w:t>Sending</w:t>
      </w:r>
      <w:bookmarkEnd w:id="21"/>
      <w:r w:rsidR="00567BB7">
        <w:t xml:space="preserve"> [Direct Messaging, v0</w:t>
      </w:r>
      <w:r w:rsidR="00DA161D">
        <w:t>.1</w:t>
      </w:r>
      <w:r w:rsidR="00373355">
        <w:t>]</w:t>
      </w:r>
      <w:bookmarkEnd w:id="22"/>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3" w:name="_Ref457506257"/>
      <w:bookmarkStart w:id="24" w:name="_Ref459193280"/>
      <w:r>
        <w:t xml:space="preserve">Integration Test </w:t>
      </w:r>
      <w:r w:rsidR="00F52C29">
        <w:t xml:space="preserve">My </w:t>
      </w:r>
      <w:r>
        <w:t>Direct Receiving</w:t>
      </w:r>
      <w:bookmarkEnd w:id="23"/>
      <w:r w:rsidR="00AB7376">
        <w:t xml:space="preserve"> [Direct Messaging, </w:t>
      </w:r>
      <w:r w:rsidR="00DA161D">
        <w:t>v0</w:t>
      </w:r>
      <w:r w:rsidR="00373355">
        <w:t>]</w:t>
      </w:r>
      <w:bookmarkEnd w:id="24"/>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5" w:name="_Ref458085707"/>
      <w:bookmarkStart w:id="26" w:name="_Ref459193299"/>
      <w:r>
        <w:t xml:space="preserve">Secure File Transfer (SFTP) C-CDA </w:t>
      </w:r>
      <w:bookmarkEnd w:id="25"/>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6"/>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CB0540" w:rsidRDefault="00CB0540" w:rsidP="00CB0540">
      <w:pPr>
        <w:pStyle w:val="Heading3"/>
      </w:pPr>
      <w:r>
        <w:t>Find Patients to Download</w:t>
      </w:r>
    </w:p>
    <w:p w:rsidR="00CB0540" w:rsidRPr="00CB0540" w:rsidRDefault="00CB0540" w:rsidP="00CB0540">
      <w:r>
        <w:t xml:space="preserve">Condition, count, age, gender, </w:t>
      </w:r>
    </w:p>
    <w:p w:rsidR="00640296" w:rsidRDefault="00640296" w:rsidP="00640296">
      <w:pPr>
        <w:pStyle w:val="Heading2"/>
      </w:pPr>
      <w:r>
        <w:t>Patient (secure web and mobile access)</w:t>
      </w:r>
    </w:p>
    <w:p w:rsidR="00640296" w:rsidRDefault="00640296" w:rsidP="00640296">
      <w:pPr>
        <w:pStyle w:val="Heading3"/>
      </w:pPr>
      <w:bookmarkStart w:id="27" w:name="_Ref460276922"/>
      <w:r>
        <w:t>View My Health Record</w:t>
      </w:r>
      <w:r w:rsidR="005D75CB">
        <w:t xml:space="preserve"> [Patient Record, </w:t>
      </w:r>
      <w:r w:rsidR="00DA3D81">
        <w:t>v0.1</w:t>
      </w:r>
      <w:r w:rsidR="005D75CB">
        <w:t>]</w:t>
      </w:r>
      <w:bookmarkEnd w:id="27"/>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8" w:name="_Ref457827235"/>
      <w:bookmarkStart w:id="29" w:name="_Ref457484481"/>
      <w:r>
        <w:t>Visual</w:t>
      </w:r>
      <w:r w:rsidR="00EE61A9">
        <w:t>ize</w:t>
      </w:r>
      <w:r>
        <w:t xml:space="preserve"> Public Health Data</w:t>
      </w:r>
      <w:bookmarkEnd w:id="28"/>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30" w:name="_Ref457827285"/>
      <w:r>
        <w:t xml:space="preserve">View </w:t>
      </w:r>
      <w:r w:rsidR="00FC570D">
        <w:t xml:space="preserve">My </w:t>
      </w:r>
      <w:r>
        <w:t>Dashboard</w:t>
      </w:r>
      <w:bookmarkEnd w:id="29"/>
      <w:bookmarkEnd w:id="30"/>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1" w:name="_Ref457484609"/>
      <w:r>
        <w:t>Download Raw Data in CSV format</w:t>
      </w:r>
      <w:bookmarkEnd w:id="31"/>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2" w:name="_Ref457484684"/>
      <w:r>
        <w:t xml:space="preserve">View </w:t>
      </w:r>
      <w:bookmarkEnd w:id="32"/>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3" w:name="_Ref460280942"/>
      <w:r>
        <w:t>Manage Users [User Management, v0.1]</w:t>
      </w:r>
      <w:bookmarkEnd w:id="33"/>
    </w:p>
    <w:p w:rsidR="00E72EF5" w:rsidRPr="006471BC" w:rsidRDefault="00E72EF5" w:rsidP="00E72EF5">
      <w:r>
        <w:t>An administrator can add, view, update, and delete users from SyntheticMass.</w:t>
      </w:r>
      <w:r w:rsidR="00A62A51">
        <w:t xml:space="preserve"> Users need to support having public/private key pairs for sending messages via Direct.</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4" w:name="_Ref459374753"/>
      <w:r>
        <w:t>Login</w:t>
      </w:r>
      <w:r w:rsidR="000A60F5">
        <w:t xml:space="preserve"> [User Management, </w:t>
      </w:r>
      <w:r w:rsidR="00DA3D81">
        <w:t>v0.1</w:t>
      </w:r>
      <w:r w:rsidR="000A60F5">
        <w:t>]</w:t>
      </w:r>
      <w:bookmarkEnd w:id="34"/>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5" w:name="_Ref458690242"/>
      <w:r>
        <w:t>Find Potential Duplicative Patients</w:t>
      </w:r>
      <w:bookmarkEnd w:id="35"/>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6"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4C0DD9"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4C0DD9"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6"/>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5"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6"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7"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97783E" w:rsidRDefault="0097783E" w:rsidP="0097783E">
      <w:pPr>
        <w:pStyle w:val="Heading2"/>
      </w:pPr>
      <w:r>
        <w:t>Ambulatory Care</w:t>
      </w:r>
    </w:p>
    <w:p w:rsidR="0097783E" w:rsidRDefault="0097783E" w:rsidP="0097783E">
      <w:r w:rsidRPr="000E0F1B">
        <w:t>Ambulatory care or outpatient care is medical care provided on an outpatient basis, including diagnosis, observation, consultation, treatment, intervention, and rehabilitation services. This care can include advanced medical technology and procedures even when provided outside of hospitals.</w:t>
      </w:r>
      <w:r>
        <w:t xml:space="preserve"> Source: </w:t>
      </w:r>
      <w:hyperlink r:id="rId18" w:history="1">
        <w:r w:rsidRPr="002A3BA7">
          <w:rPr>
            <w:rStyle w:val="Hyperlink"/>
          </w:rPr>
          <w:t>https://en.wikipedia.org/wiki/Ambulatory_care</w:t>
        </w:r>
      </w:hyperlink>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9"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20" w:history="1">
        <w:r w:rsidR="00301D2C" w:rsidRPr="00F37DBE">
          <w:rPr>
            <w:rStyle w:val="Hyperlink"/>
          </w:rPr>
          <w:t>https://www.astm.org/</w:t>
        </w:r>
      </w:hyperlink>
    </w:p>
    <w:p w:rsidR="00B1031B" w:rsidRDefault="00B1031B" w:rsidP="002F353A">
      <w:pPr>
        <w:pStyle w:val="Heading2"/>
      </w:pPr>
      <w:r>
        <w:t>Attribution</w:t>
      </w:r>
    </w:p>
    <w:p w:rsidR="00B1031B" w:rsidRDefault="00B1031B" w:rsidP="00B1031B">
      <w:r w:rsidRPr="00B1031B">
        <w:t>Attribution is defined as the method to which a patient is connected to a health care system, provider or physician and takes responsibility for the care of that patient</w:t>
      </w:r>
      <w:r>
        <w:t xml:space="preserve">. Source: </w:t>
      </w:r>
      <w:hyperlink r:id="rId21" w:history="1">
        <w:r w:rsidRPr="004E6CC5">
          <w:rPr>
            <w:rStyle w:val="Hyperlink"/>
          </w:rPr>
          <w:t>https://www.healthpartners.com/ucm/groups/public/@hp/@public/documents/documents/cntrb_031064.pdf</w:t>
        </w:r>
      </w:hyperlink>
    </w:p>
    <w:p w:rsidR="007D3F18" w:rsidRDefault="007D3F18" w:rsidP="002F353A">
      <w:pPr>
        <w:pStyle w:val="Heading2"/>
      </w:pPr>
      <w:r>
        <w:t>Behavioral Health</w:t>
      </w:r>
    </w:p>
    <w:p w:rsidR="007D3F18" w:rsidRDefault="007D3F18" w:rsidP="007D3F18">
      <w:r w:rsidRPr="007D3F18">
        <w:t>Behavioral health includes not only ways of promoting well-being by preventing or intervening in mental illness such as depression or anxiety, but also has as an aim preventing or intervening in substance abuse or other addictions.</w:t>
      </w:r>
      <w:r>
        <w:t xml:space="preserve"> Source: </w:t>
      </w:r>
      <w:hyperlink r:id="rId22" w:history="1">
        <w:r w:rsidRPr="002A3BA7">
          <w:rPr>
            <w:rStyle w:val="Hyperlink"/>
          </w:rPr>
          <w:t>https://www.psychologytoday.com/blog/promoting-hope-preventing-suicide/200910/behavioral-health-versus-mental-health</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3"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4"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5"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6"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7"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8"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29"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30"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31"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32"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3"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34"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35"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36"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37"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8"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9"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40"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r w:rsidR="00B110FD">
        <w:t xml:space="preserve"> Often the term EHRs refers to software used in hospitals and in other medical providers to capture a patient’s medical data.</w:t>
      </w:r>
      <w:r w:rsidR="000E0F1B">
        <w:t xml:space="preserve"> Many vendors offer EHR software including Cerner Corporation, Epic Systems Corporation, </w:t>
      </w:r>
      <w:proofErr w:type="spellStart"/>
      <w:r w:rsidR="000E0F1B">
        <w:t>Allscripts</w:t>
      </w:r>
      <w:proofErr w:type="spellEnd"/>
      <w:r w:rsidR="000E0F1B">
        <w:t xml:space="preserve">, and </w:t>
      </w:r>
      <w:proofErr w:type="spellStart"/>
      <w:r w:rsidR="000E0F1B">
        <w:t>NextGen</w:t>
      </w:r>
      <w:proofErr w:type="spellEnd"/>
      <w:r w:rsidR="000E0F1B">
        <w:t xml:space="preserve"> Healthcare Information Systems Inc.</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41" w:history="1">
        <w:r w:rsidRPr="00170808">
          <w:rPr>
            <w:rStyle w:val="Hyperlink"/>
          </w:rPr>
          <w:t>https://en.wikipedia.org/wiki/Emergency_medical_services</w:t>
        </w:r>
      </w:hyperlink>
    </w:p>
    <w:p w:rsidR="00377583" w:rsidRDefault="00377583" w:rsidP="00377583">
      <w:pPr>
        <w:pStyle w:val="Heading2"/>
      </w:pPr>
      <w:r>
        <w:t>Epidemiology</w:t>
      </w:r>
    </w:p>
    <w:p w:rsidR="00377583" w:rsidRDefault="00377583" w:rsidP="00377583">
      <w:r w:rsidRPr="00377583">
        <w:t>Epidemiology is the method used to find the causes of health outcomes and diseases in populations. In epidemiology, the patient is the community and individuals are viewed collectively. By definition, epidemiology is the study (scientific, systematic, and data-driven) of the distribution (frequency, pattern) and determinants (causes, risk factors) of health-related states and events (not just diseases) in specified populations (neighborhood, school, city, state, country, global). It is also the application of this study to the control of health problems (Source: Principles of Epidemiology, 3rd Edition).</w:t>
      </w:r>
    </w:p>
    <w:p w:rsidR="00377583" w:rsidRDefault="00377583" w:rsidP="00377583">
      <w:r>
        <w:t xml:space="preserve">Source: </w:t>
      </w:r>
      <w:hyperlink r:id="rId42" w:history="1">
        <w:r w:rsidRPr="004E6CC5">
          <w:rPr>
            <w:rStyle w:val="Hyperlink"/>
          </w:rPr>
          <w:t>https://www.cdc.gov/careerpaths/k12teacherroadmap/epidemiology.html</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43"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44"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4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46"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47"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r w:rsidR="00612586">
        <w:t xml:space="preserve"> This funding is </w:t>
      </w:r>
      <w:r w:rsidR="00B55719">
        <w:t xml:space="preserve">currently scheduled to end </w:t>
      </w:r>
      <w:r w:rsidR="00612586">
        <w:t>in 2021.</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48"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49"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50"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51"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52" w:history="1">
        <w:r w:rsidRPr="00DE69EE">
          <w:rPr>
            <w:rStyle w:val="Hyperlink"/>
          </w:rPr>
          <w:t>https://www.health.ny.gov/diseases/chronic/basicstat.htm</w:t>
        </w:r>
      </w:hyperlink>
    </w:p>
    <w:p w:rsidR="005A5639" w:rsidRDefault="005A5639" w:rsidP="00D85F10">
      <w:pPr>
        <w:pStyle w:val="Heading2"/>
      </w:pPr>
      <w:r>
        <w:t>Integrated Care</w:t>
      </w:r>
    </w:p>
    <w:p w:rsidR="005A5639" w:rsidRDefault="005A5639" w:rsidP="005A5639">
      <w:r>
        <w:t xml:space="preserve">Integrated care is </w:t>
      </w:r>
      <w:r w:rsidRPr="005A5639">
        <w:t>the systematic coordination of general and behavioral healthcare. Integrating mental health, substance abuse, and primary care services produces the best outcomes and proves the most effective approach to caring for people with multiple healthcare needs.</w:t>
      </w:r>
      <w:r>
        <w:t xml:space="preserve"> Source: </w:t>
      </w:r>
      <w:hyperlink r:id="rId53" w:history="1">
        <w:r w:rsidRPr="002A3BA7">
          <w:rPr>
            <w:rStyle w:val="Hyperlink"/>
          </w:rPr>
          <w:t>http://www.integration.samhsa.gov/about-us/what-is-integrated-care</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54" w:history="1">
        <w:r w:rsidRPr="00EE7FFC">
          <w:rPr>
            <w:rStyle w:val="Hyperlink"/>
          </w:rPr>
          <w:t>http://loinc.org/</w:t>
        </w:r>
      </w:hyperlink>
      <w:r>
        <w:t>. LOINC consists of universal identifiers for laboratory and other clinical observations.</w:t>
      </w:r>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55"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56"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57"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58"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59"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60"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61"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B73657" w:rsidRDefault="00B73657" w:rsidP="00C83EDC">
      <w:pPr>
        <w:pStyle w:val="Heading2"/>
      </w:pPr>
      <w:r>
        <w:t>MMM = MITA Maturity Model</w:t>
      </w:r>
    </w:p>
    <w:p w:rsidR="003E2D97" w:rsidRDefault="00B73657" w:rsidP="00B73657">
      <w:r w:rsidRPr="00B73657">
        <w:t>The MMM is subdivided into five complex levels of progressive enterprise business and technological maturity. It illustrates how to transform goals, objectives, and business capabilities of the Medicaid Enterprise</w:t>
      </w:r>
      <w:r>
        <w:t xml:space="preserve">. </w:t>
      </w:r>
      <w:r w:rsidR="00E830A6">
        <w:t>Each business process is rated separately (about 80 of them in MITA).</w:t>
      </w:r>
    </w:p>
    <w:p w:rsidR="003E2D97" w:rsidRPr="003E2D97" w:rsidRDefault="003E2D97" w:rsidP="003E2D97">
      <w:pPr>
        <w:rPr>
          <w:b/>
        </w:rPr>
      </w:pPr>
      <w:r w:rsidRPr="003E2D97">
        <w:rPr>
          <w:b/>
        </w:rPr>
        <w:t>Level 1</w:t>
      </w:r>
    </w:p>
    <w:p w:rsidR="003E2D97" w:rsidRDefault="003E2D97" w:rsidP="003E2D97">
      <w:r>
        <w:t xml:space="preserve">All Technology, policy, statutory enablers exist and are widely used. The SMA complies with baseline requirements. </w:t>
      </w:r>
    </w:p>
    <w:p w:rsidR="003E2D97" w:rsidRDefault="003E2D97" w:rsidP="003E2D97">
      <w:r>
        <w:t xml:space="preserve">The SMA focuses on meeting compliance thresholds for state and federal regulations, aiming primarily at accurate enrollment of program </w:t>
      </w:r>
      <w:proofErr w:type="spellStart"/>
      <w:r>
        <w:t>eligibles</w:t>
      </w:r>
      <w:proofErr w:type="spellEnd"/>
      <w:r>
        <w:t xml:space="preserve"> and timely and accurate payment of claims for appropriate services. </w:t>
      </w:r>
    </w:p>
    <w:p w:rsidR="003E2D97" w:rsidRPr="003E2D97" w:rsidRDefault="003E2D97" w:rsidP="003E2D97">
      <w:pPr>
        <w:rPr>
          <w:b/>
        </w:rPr>
      </w:pPr>
      <w:r w:rsidRPr="003E2D97">
        <w:rPr>
          <w:b/>
        </w:rPr>
        <w:t>Level 2</w:t>
      </w:r>
    </w:p>
    <w:p w:rsidR="003E2D97" w:rsidRDefault="003E2D97" w:rsidP="003E2D97">
      <w:r>
        <w:t>All technology, policy, and statutory enablers exist and are widely used. The SMA improves important parts of its business.</w:t>
      </w:r>
    </w:p>
    <w:p w:rsidR="003E2D97" w:rsidRDefault="003E2D97" w:rsidP="003E2D97">
      <w:r>
        <w:t xml:space="preserve">The SMA focuses on cost management and improving the quality of and access to care within structures designed to manage costs (e.g., managed care, catastrophic care management, and disease management). </w:t>
      </w:r>
    </w:p>
    <w:p w:rsidR="003E2D97" w:rsidRPr="003E2D97" w:rsidRDefault="003E2D97" w:rsidP="003E2D97">
      <w:pPr>
        <w:rPr>
          <w:b/>
        </w:rPr>
      </w:pPr>
      <w:r w:rsidRPr="003E2D97">
        <w:rPr>
          <w:b/>
        </w:rPr>
        <w:t>Level 3</w:t>
      </w:r>
    </w:p>
    <w:p w:rsidR="003E2D97" w:rsidRDefault="003E2D97" w:rsidP="003E2D97">
      <w:r>
        <w:t xml:space="preserve">Industry Standards are widely used. The SMA promotes collaboration, data sharing, interoperability and consolidation of business processes. </w:t>
      </w:r>
    </w:p>
    <w:p w:rsidR="003E2D97" w:rsidRDefault="003E2D97" w:rsidP="003E2D97">
      <w:r>
        <w:t xml:space="preserve">The SMA focuses on coordinating and collaborating with other agencies to adopt national standards and develop and share reusable processes to improve the cost effectiveness of health care service delivery. The SMA promotes intrastate information exchange and business services. </w:t>
      </w:r>
    </w:p>
    <w:p w:rsidR="003E2D97" w:rsidRPr="003E2D97" w:rsidRDefault="003E2D97" w:rsidP="003E2D97">
      <w:pPr>
        <w:rPr>
          <w:b/>
        </w:rPr>
      </w:pPr>
      <w:r w:rsidRPr="003E2D97">
        <w:rPr>
          <w:b/>
        </w:rPr>
        <w:t>Level 4</w:t>
      </w:r>
    </w:p>
    <w:p w:rsidR="003E2D97" w:rsidRDefault="003E2D97" w:rsidP="003E2D97">
      <w:r>
        <w:t>Widespread access to clinical information improves healthcare outcomes. The SMA promotes interstate information exchange.</w:t>
      </w:r>
    </w:p>
    <w:p w:rsidR="003E2D97" w:rsidRDefault="003E2D97" w:rsidP="003E2D97">
      <w:r>
        <w:t xml:space="preserve">The SMA, now with widespread and secure access to clinical information, can improve health care outcomes, empower members and provider stakeholders, measure objectives quantitatively, and focus on program improvement. The SMA promotes interstate information exchange and business services. </w:t>
      </w:r>
    </w:p>
    <w:p w:rsidR="003E2D97" w:rsidRPr="003E2D97" w:rsidRDefault="003E2D97" w:rsidP="003E2D97">
      <w:pPr>
        <w:rPr>
          <w:b/>
        </w:rPr>
      </w:pPr>
      <w:r w:rsidRPr="003E2D97">
        <w:rPr>
          <w:b/>
        </w:rPr>
        <w:t>Level 5</w:t>
      </w:r>
    </w:p>
    <w:p w:rsidR="003E2D97" w:rsidRDefault="003E2D97" w:rsidP="003E2D97">
      <w:r>
        <w:t>Leverage and reuse of technologies is widely used for national interoperability. The SMA focuses on program management rather than daily routines.</w:t>
      </w:r>
    </w:p>
    <w:p w:rsidR="003E2D97" w:rsidRDefault="003E2D97" w:rsidP="003E2D97">
      <w:r>
        <w:t>The SMA focuses on fine-tuning and optimizing program management, planning, and evaluation, with national (and international) interoperability improvements that maximize automation of routine operations</w:t>
      </w:r>
    </w:p>
    <w:p w:rsidR="00B73657" w:rsidRDefault="00B73657" w:rsidP="00B73657">
      <w:r>
        <w:t xml:space="preserve">Source: </w:t>
      </w:r>
      <w:hyperlink r:id="rId62" w:history="1">
        <w:r w:rsidRPr="00477495">
          <w:rPr>
            <w:rStyle w:val="Hyperlink"/>
          </w:rPr>
          <w:t>http://rcwiki.azurewebsites.net/index.php?title=MITA_Maturity_Model</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63"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64"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65"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66" w:history="1">
        <w:r>
          <w:rPr>
            <w:rStyle w:val="Hyperlink"/>
          </w:rPr>
          <w:t>(HIE)</w:t>
        </w:r>
      </w:hyperlink>
      <w:r>
        <w:t xml:space="preserve"> over the Internet. The initiative is sponsored by the Office of the National Coordinator </w:t>
      </w:r>
      <w:hyperlink r:id="rId67" w:history="1">
        <w:r>
          <w:rPr>
            <w:rStyle w:val="Hyperlink"/>
          </w:rPr>
          <w:t>(ONC)</w:t>
        </w:r>
      </w:hyperlink>
      <w:r>
        <w:t xml:space="preserve"> for Health Information Technology (</w:t>
      </w:r>
      <w:hyperlink r:id="rId68" w:history="1">
        <w:r>
          <w:rPr>
            <w:rStyle w:val="Hyperlink"/>
          </w:rPr>
          <w:t>HIT</w:t>
        </w:r>
      </w:hyperlink>
      <w:r>
        <w:t xml:space="preserve">), which began developing the NHIN in 2004. Source: </w:t>
      </w:r>
      <w:hyperlink r:id="rId69"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70"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71"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72"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73" w:history="1">
        <w:r w:rsidRPr="00F37DBE">
          <w:rPr>
            <w:rStyle w:val="Hyperlink"/>
          </w:rPr>
          <w:t>https://en.wikipedia.org/wiki/OpenID</w:t>
        </w:r>
      </w:hyperlink>
    </w:p>
    <w:p w:rsidR="00EB3ED9" w:rsidRDefault="00EB3ED9" w:rsidP="00C83EDC">
      <w:pPr>
        <w:pStyle w:val="Heading2"/>
      </w:pPr>
      <w:r>
        <w:t>Orphan Disease</w:t>
      </w:r>
    </w:p>
    <w:p w:rsidR="00EB3ED9" w:rsidRPr="00EB3ED9" w:rsidRDefault="00EB3ED9" w:rsidP="00EB3ED9">
      <w:r>
        <w:t>Orphan diseases affect a relatively small portion of the population, usually defined as less than 200,000 people.</w:t>
      </w:r>
    </w:p>
    <w:p w:rsidR="004316A0" w:rsidRDefault="004316A0" w:rsidP="00C83EDC">
      <w:pPr>
        <w:pStyle w:val="Heading2"/>
      </w:pPr>
      <w:r>
        <w:t>Patient Activation</w:t>
      </w:r>
    </w:p>
    <w:p w:rsidR="004316A0" w:rsidRPr="004316A0" w:rsidRDefault="004316A0" w:rsidP="004316A0">
      <w:r>
        <w:t>Patient activation refers to a patient’s knowledge, skills, ability, and willingness to manage his or her own health and care. Patient engagement is a broader concept.</w:t>
      </w:r>
      <w:r w:rsidR="006A2265">
        <w:t xml:space="preserve"> Source: “Health Policy Brief”, Health Affairs, Robert Wood Johnson Foundation, February 14, 2013</w:t>
      </w:r>
    </w:p>
    <w:p w:rsidR="004316A0" w:rsidRDefault="004316A0" w:rsidP="00C83EDC">
      <w:pPr>
        <w:pStyle w:val="Heading2"/>
      </w:pPr>
      <w:r>
        <w:t>Patient Engagement</w:t>
      </w:r>
    </w:p>
    <w:p w:rsidR="004316A0" w:rsidRPr="004316A0" w:rsidRDefault="004316A0" w:rsidP="004316A0">
      <w:r>
        <w:t>Patient engagement combines patient activation with interventions desi</w:t>
      </w:r>
      <w:r w:rsidR="00AB7712">
        <w:t xml:space="preserve">gned to increase activation and </w:t>
      </w:r>
      <w:r>
        <w:t>promote positive patient behavior, such as obtaining preventive care or exercising regularly. Patient engagement is one strategy to achieve the “triple aim” of improved health outcomes, better patient care, and lower costs.</w:t>
      </w:r>
      <w:r w:rsidR="00AB7712">
        <w:t xml:space="preserve"> Source: “Health Policy Brief”, Health Affairs, Robert Wood Johnson Foundation, February 14, 2013</w:t>
      </w:r>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74"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75"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76"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77"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78"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79"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80"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81"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82"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83"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84"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r w:rsidR="00292F1A">
        <w:t xml:space="preserve"> SLRs often includes a rules engine and storage capabilities.</w:t>
      </w:r>
      <w:r w:rsidR="005D4FC3">
        <w:t xml:space="preserve"> CGI, </w:t>
      </w:r>
      <w:r w:rsidR="00A849E6">
        <w:t>CSNI</w:t>
      </w:r>
      <w:r w:rsidR="005D4FC3">
        <w:t>, and Xerox</w:t>
      </w:r>
      <w:r w:rsidR="00A849E6">
        <w:t xml:space="preserve"> </w:t>
      </w:r>
      <w:r w:rsidR="00AC45EF">
        <w:t xml:space="preserve">(Alaska uses) </w:t>
      </w:r>
      <w:r w:rsidR="00A849E6">
        <w:t xml:space="preserve">are </w:t>
      </w:r>
      <w:r w:rsidR="005D4FC3">
        <w:t xml:space="preserve">examples of </w:t>
      </w:r>
      <w:r w:rsidR="00A849E6">
        <w:t>vendors of SLRs for the states.</w:t>
      </w:r>
      <w:r w:rsidR="00795B5D">
        <w:t xml:space="preserve"> </w:t>
      </w:r>
      <w:r w:rsidR="0058683E">
        <w:t>Typically,</w:t>
      </w:r>
      <w:r w:rsidR="00795B5D">
        <w:t xml:space="preserve"> SLR data will be pushed to NLR along with Medicare data.</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85" w:history="1">
        <w:r w:rsidRPr="00906529">
          <w:rPr>
            <w:rStyle w:val="Hyperlink"/>
          </w:rPr>
          <w:t>http://jamia.oxfordjournals.org/content/early/2016/02/16/jamia.ocv189</w:t>
        </w:r>
      </w:hyperlink>
    </w:p>
    <w:p w:rsidR="005957EC" w:rsidRDefault="005957EC" w:rsidP="00FA5132">
      <w:pPr>
        <w:pStyle w:val="Heading2"/>
      </w:pPr>
      <w:r>
        <w:t>SMI = Serious Mental Illness</w:t>
      </w:r>
    </w:p>
    <w:p w:rsidR="005957EC" w:rsidRDefault="00FE339D" w:rsidP="005957EC">
      <w:r w:rsidRPr="00FE339D">
        <w:t>“Adults with a serious mental illness are persons: (1) age 18 and over, (2) who currently or at any time during the past year, (3) have a diagnosable mental, behavioral, or emotional disorder of sufficient duration to meet diagnostic criteria specified within the Diagnostic and Statistical Manual of Mental Disorders (DSM)-III-R, (4) that has resulted in functional impairment which substantially interferes with or limits one or more major life activities…All of these disorders have episodic, recurrent, or persistent features; however, they vary in terms of severity and disabling effects.” Federal Register Volume 58 No. 96 published Thursday May 20, 1993, pages 29422-29425.</w:t>
      </w:r>
      <w:r>
        <w:t xml:space="preserve"> </w:t>
      </w:r>
      <w:r w:rsidR="005957EC">
        <w:t xml:space="preserve">Source: </w:t>
      </w:r>
      <w:hyperlink r:id="rId86" w:history="1">
        <w:r w:rsidR="005957EC" w:rsidRPr="002A3BA7">
          <w:rPr>
            <w:rStyle w:val="Hyperlink"/>
          </w:rPr>
          <w:t>https://www.nimh.nih.gov/about/director/2013/getting-serious-about-mental-illnesses.shtml</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87"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88"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89"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90" w:history="1">
        <w:r w:rsidR="00990F72" w:rsidRPr="00DE69EE">
          <w:rPr>
            <w:rStyle w:val="Hyperlink"/>
          </w:rPr>
          <w:t>https://www.boswell.io/</w:t>
        </w:r>
      </w:hyperlink>
    </w:p>
    <w:p w:rsidR="007C2F79" w:rsidRDefault="00506AB7" w:rsidP="00A44BC6">
      <w:pPr>
        <w:pStyle w:val="Heading2"/>
      </w:pPr>
      <w:r>
        <w:t>“</w:t>
      </w:r>
      <w:r w:rsidR="007C2F79">
        <w:t>Triple Aim</w:t>
      </w:r>
      <w:r>
        <w:t>”</w:t>
      </w:r>
    </w:p>
    <w:p w:rsidR="007C2F79" w:rsidRPr="007C2F79" w:rsidRDefault="007C2F79" w:rsidP="007C2F79">
      <w:r>
        <w:t xml:space="preserve">The </w:t>
      </w:r>
      <w:r w:rsidR="00071DFC">
        <w:t>“</w:t>
      </w:r>
      <w:r>
        <w:t>Triple Aim</w:t>
      </w:r>
      <w:r w:rsidR="00071DFC">
        <w:t>”</w:t>
      </w:r>
      <w:r>
        <w:t xml:space="preserve"> of health care is to (1) improve the patient experience of care (including quality and satisfaction), (2) improve the health of populations, and (3) reduce the cost of health care.</w:t>
      </w:r>
      <w:r w:rsidR="00071DFC">
        <w:t xml:space="preserve"> Source: </w:t>
      </w:r>
      <w:hyperlink r:id="rId91" w:history="1">
        <w:r w:rsidR="00071DFC" w:rsidRPr="00477495">
          <w:rPr>
            <w:rStyle w:val="Hyperlink"/>
          </w:rPr>
          <w:t>http://www.ihi.org/engage/initiatives/tripleaim/pages/default.aspx</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92"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93"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94"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95" w:anchor="page=128" w:history="1">
        <w:r w:rsidR="00C12D6D" w:rsidRPr="006E6C24">
          <w:rPr>
            <w:rStyle w:val="Hyperlink"/>
          </w:rPr>
          <w:t>http://www.ihe.net/Technical_Framework/upload/IHE_ITI_TF_Rev7-0_Vol1_FT_2010-08-10.pdf#page=128</w:t>
        </w:r>
      </w:hyperlink>
    </w:p>
    <w:p w:rsidR="004C0DD9" w:rsidRDefault="004C0DD9" w:rsidP="004C0DD9">
      <w:pPr>
        <w:pStyle w:val="Heading2"/>
        <w:rPr>
          <w:rStyle w:val="Hyperlink"/>
          <w:color w:val="2E74B5" w:themeColor="accent1" w:themeShade="BF"/>
          <w:u w:val="none"/>
        </w:rPr>
      </w:pPr>
      <w:r>
        <w:rPr>
          <w:rStyle w:val="Hyperlink"/>
          <w:color w:val="2E74B5" w:themeColor="accent1" w:themeShade="BF"/>
          <w:u w:val="none"/>
        </w:rPr>
        <w:t>XDS = Cross-enterprise Document Sharing</w:t>
      </w:r>
    </w:p>
    <w:p w:rsidR="004C0DD9" w:rsidRDefault="004C0DD9" w:rsidP="004C0DD9">
      <w:r w:rsidRPr="004C0DD9">
        <w:t>Cross-Enterprise Document Sharing (XDS) is an interoperability profile that facilitates the registration, distribution and access across health enterprises of patient electronic health records.</w:t>
      </w:r>
      <w:r>
        <w:t xml:space="preserve"> Source: </w:t>
      </w:r>
      <w:hyperlink r:id="rId96" w:history="1">
        <w:r w:rsidRPr="002A3BA7">
          <w:rPr>
            <w:rStyle w:val="Hyperlink"/>
          </w:rPr>
          <w:t>http://wiki.ihe.net/index.php/Cross-Enterprise_Document_Sharing</w:t>
        </w:r>
      </w:hyperlink>
    </w:p>
    <w:p w:rsidR="00664042" w:rsidRPr="00B65EAD" w:rsidRDefault="00664042" w:rsidP="00B65EAD">
      <w:pPr>
        <w:pStyle w:val="Heading1"/>
        <w:rPr>
          <w:rStyle w:val="Hyperlink"/>
          <w:color w:val="2E74B5" w:themeColor="accent1" w:themeShade="BF"/>
          <w:u w:val="none"/>
        </w:rPr>
      </w:pPr>
      <w:bookmarkStart w:id="37" w:name="_GoBack"/>
      <w:bookmarkEnd w:id="37"/>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97" w:history="1">
        <w:r w:rsidRPr="003D3712">
          <w:rPr>
            <w:rStyle w:val="Hyperlink"/>
          </w:rPr>
          <w:t>http://hl7.org/fhir/2016May/compartmentdefinition.html</w:t>
        </w:r>
      </w:hyperlink>
      <w:r>
        <w:t xml:space="preserve"> and </w:t>
      </w:r>
      <w:hyperlink r:id="rId98"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4C0DD9" w:rsidP="001531CA">
      <w:hyperlink r:id="rId99"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10613A" w:rsidRDefault="0010613A" w:rsidP="0010613A">
      <w:r>
        <w:t xml:space="preserve">Source: </w:t>
      </w:r>
      <w:hyperlink r:id="rId101"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F5E62"/>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7"/>
  </w:num>
  <w:num w:numId="4">
    <w:abstractNumId w:val="9"/>
  </w:num>
  <w:num w:numId="5">
    <w:abstractNumId w:val="8"/>
  </w:num>
  <w:num w:numId="6">
    <w:abstractNumId w:val="39"/>
  </w:num>
  <w:num w:numId="7">
    <w:abstractNumId w:val="6"/>
  </w:num>
  <w:num w:numId="8">
    <w:abstractNumId w:val="11"/>
  </w:num>
  <w:num w:numId="9">
    <w:abstractNumId w:val="24"/>
  </w:num>
  <w:num w:numId="10">
    <w:abstractNumId w:val="0"/>
  </w:num>
  <w:num w:numId="11">
    <w:abstractNumId w:val="5"/>
  </w:num>
  <w:num w:numId="12">
    <w:abstractNumId w:val="26"/>
  </w:num>
  <w:num w:numId="13">
    <w:abstractNumId w:val="12"/>
  </w:num>
  <w:num w:numId="14">
    <w:abstractNumId w:val="3"/>
  </w:num>
  <w:num w:numId="15">
    <w:abstractNumId w:val="15"/>
  </w:num>
  <w:num w:numId="16">
    <w:abstractNumId w:val="38"/>
  </w:num>
  <w:num w:numId="17">
    <w:abstractNumId w:val="4"/>
  </w:num>
  <w:num w:numId="18">
    <w:abstractNumId w:val="2"/>
  </w:num>
  <w:num w:numId="19">
    <w:abstractNumId w:val="32"/>
  </w:num>
  <w:num w:numId="20">
    <w:abstractNumId w:val="36"/>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8"/>
  </w:num>
  <w:num w:numId="25">
    <w:abstractNumId w:val="40"/>
  </w:num>
  <w:num w:numId="26">
    <w:abstractNumId w:val="35"/>
  </w:num>
  <w:num w:numId="27">
    <w:abstractNumId w:val="21"/>
  </w:num>
  <w:num w:numId="28">
    <w:abstractNumId w:val="14"/>
  </w:num>
  <w:num w:numId="29">
    <w:abstractNumId w:val="18"/>
  </w:num>
  <w:num w:numId="30">
    <w:abstractNumId w:val="30"/>
  </w:num>
  <w:num w:numId="31">
    <w:abstractNumId w:val="31"/>
  </w:num>
  <w:num w:numId="32">
    <w:abstractNumId w:val="37"/>
  </w:num>
  <w:num w:numId="33">
    <w:abstractNumId w:val="19"/>
  </w:num>
  <w:num w:numId="34">
    <w:abstractNumId w:val="10"/>
  </w:num>
  <w:num w:numId="35">
    <w:abstractNumId w:val="29"/>
  </w:num>
  <w:num w:numId="36">
    <w:abstractNumId w:val="33"/>
  </w:num>
  <w:num w:numId="37">
    <w:abstractNumId w:val="34"/>
  </w:num>
  <w:num w:numId="38">
    <w:abstractNumId w:val="1"/>
  </w:num>
  <w:num w:numId="39">
    <w:abstractNumId w:val="13"/>
  </w:num>
  <w:num w:numId="40">
    <w:abstractNumId w:val="2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A4D"/>
    <w:rsid w:val="00055BB6"/>
    <w:rsid w:val="0005622A"/>
    <w:rsid w:val="0005675D"/>
    <w:rsid w:val="00057540"/>
    <w:rsid w:val="00063B4A"/>
    <w:rsid w:val="000658C7"/>
    <w:rsid w:val="00071DFC"/>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0F1B"/>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3955"/>
    <w:rsid w:val="0026458E"/>
    <w:rsid w:val="00266B55"/>
    <w:rsid w:val="00270B3B"/>
    <w:rsid w:val="00272175"/>
    <w:rsid w:val="00273978"/>
    <w:rsid w:val="00274811"/>
    <w:rsid w:val="00274E08"/>
    <w:rsid w:val="00275B0F"/>
    <w:rsid w:val="0028017D"/>
    <w:rsid w:val="00281C07"/>
    <w:rsid w:val="002860C9"/>
    <w:rsid w:val="00286724"/>
    <w:rsid w:val="00291F8D"/>
    <w:rsid w:val="00292F1A"/>
    <w:rsid w:val="002964FA"/>
    <w:rsid w:val="002972C2"/>
    <w:rsid w:val="002A267E"/>
    <w:rsid w:val="002A310B"/>
    <w:rsid w:val="002A7443"/>
    <w:rsid w:val="002B235D"/>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2208D"/>
    <w:rsid w:val="0033037E"/>
    <w:rsid w:val="00336EBC"/>
    <w:rsid w:val="00342134"/>
    <w:rsid w:val="00342518"/>
    <w:rsid w:val="0035123B"/>
    <w:rsid w:val="00355E61"/>
    <w:rsid w:val="003563A7"/>
    <w:rsid w:val="00361F81"/>
    <w:rsid w:val="00362E52"/>
    <w:rsid w:val="0036764F"/>
    <w:rsid w:val="003678ED"/>
    <w:rsid w:val="00367B41"/>
    <w:rsid w:val="00373355"/>
    <w:rsid w:val="00377583"/>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2D97"/>
    <w:rsid w:val="003E41EB"/>
    <w:rsid w:val="003E5054"/>
    <w:rsid w:val="003F75AA"/>
    <w:rsid w:val="00401CF1"/>
    <w:rsid w:val="00402EBD"/>
    <w:rsid w:val="00403519"/>
    <w:rsid w:val="00414C84"/>
    <w:rsid w:val="00421293"/>
    <w:rsid w:val="00421D84"/>
    <w:rsid w:val="004303BA"/>
    <w:rsid w:val="004314FA"/>
    <w:rsid w:val="004316A0"/>
    <w:rsid w:val="00432528"/>
    <w:rsid w:val="00434E1B"/>
    <w:rsid w:val="004407A0"/>
    <w:rsid w:val="004466C1"/>
    <w:rsid w:val="0045234D"/>
    <w:rsid w:val="004573CF"/>
    <w:rsid w:val="004620AC"/>
    <w:rsid w:val="004705B9"/>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0DD9"/>
    <w:rsid w:val="004C62FE"/>
    <w:rsid w:val="004D0CED"/>
    <w:rsid w:val="004D4B79"/>
    <w:rsid w:val="004D61AB"/>
    <w:rsid w:val="004E505D"/>
    <w:rsid w:val="004F2068"/>
    <w:rsid w:val="004F6BEA"/>
    <w:rsid w:val="004F6FD0"/>
    <w:rsid w:val="00502066"/>
    <w:rsid w:val="00503F07"/>
    <w:rsid w:val="005057C0"/>
    <w:rsid w:val="00505DE6"/>
    <w:rsid w:val="00506AB7"/>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779F3"/>
    <w:rsid w:val="00582517"/>
    <w:rsid w:val="005830B9"/>
    <w:rsid w:val="0058683E"/>
    <w:rsid w:val="0059159D"/>
    <w:rsid w:val="00592028"/>
    <w:rsid w:val="00593580"/>
    <w:rsid w:val="005957EC"/>
    <w:rsid w:val="005A1AC8"/>
    <w:rsid w:val="005A5639"/>
    <w:rsid w:val="005A6B0C"/>
    <w:rsid w:val="005A773A"/>
    <w:rsid w:val="005B0091"/>
    <w:rsid w:val="005B1E64"/>
    <w:rsid w:val="005B215A"/>
    <w:rsid w:val="005B3549"/>
    <w:rsid w:val="005C3EE7"/>
    <w:rsid w:val="005C688A"/>
    <w:rsid w:val="005C6F26"/>
    <w:rsid w:val="005D3D08"/>
    <w:rsid w:val="005D4FC3"/>
    <w:rsid w:val="005D75CB"/>
    <w:rsid w:val="005E0089"/>
    <w:rsid w:val="005E1878"/>
    <w:rsid w:val="005E2253"/>
    <w:rsid w:val="005E2F10"/>
    <w:rsid w:val="005E7337"/>
    <w:rsid w:val="005F2805"/>
    <w:rsid w:val="005F38B2"/>
    <w:rsid w:val="005F5DC1"/>
    <w:rsid w:val="006006CB"/>
    <w:rsid w:val="00607CEB"/>
    <w:rsid w:val="00612156"/>
    <w:rsid w:val="00612586"/>
    <w:rsid w:val="00615F70"/>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265"/>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460A5"/>
    <w:rsid w:val="007501AD"/>
    <w:rsid w:val="00751D5A"/>
    <w:rsid w:val="00752263"/>
    <w:rsid w:val="007577EE"/>
    <w:rsid w:val="00764320"/>
    <w:rsid w:val="00764B6B"/>
    <w:rsid w:val="00766E1E"/>
    <w:rsid w:val="00772A84"/>
    <w:rsid w:val="00772B12"/>
    <w:rsid w:val="007745F3"/>
    <w:rsid w:val="00780C27"/>
    <w:rsid w:val="007813C1"/>
    <w:rsid w:val="007828B0"/>
    <w:rsid w:val="0078692E"/>
    <w:rsid w:val="00786978"/>
    <w:rsid w:val="00790D6C"/>
    <w:rsid w:val="00791851"/>
    <w:rsid w:val="0079416C"/>
    <w:rsid w:val="00794E43"/>
    <w:rsid w:val="00795B5D"/>
    <w:rsid w:val="007A4E09"/>
    <w:rsid w:val="007B15E5"/>
    <w:rsid w:val="007B2599"/>
    <w:rsid w:val="007B716E"/>
    <w:rsid w:val="007B7177"/>
    <w:rsid w:val="007C0634"/>
    <w:rsid w:val="007C12D3"/>
    <w:rsid w:val="007C1FD0"/>
    <w:rsid w:val="007C2F79"/>
    <w:rsid w:val="007C3F1C"/>
    <w:rsid w:val="007D3F18"/>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6C21"/>
    <w:rsid w:val="008B7616"/>
    <w:rsid w:val="008C5059"/>
    <w:rsid w:val="008C5DC2"/>
    <w:rsid w:val="008C7745"/>
    <w:rsid w:val="008D0209"/>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7783E"/>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17414"/>
    <w:rsid w:val="00A205B1"/>
    <w:rsid w:val="00A23694"/>
    <w:rsid w:val="00A2698E"/>
    <w:rsid w:val="00A274C5"/>
    <w:rsid w:val="00A32FB7"/>
    <w:rsid w:val="00A33124"/>
    <w:rsid w:val="00A34592"/>
    <w:rsid w:val="00A3506C"/>
    <w:rsid w:val="00A400C8"/>
    <w:rsid w:val="00A432BE"/>
    <w:rsid w:val="00A43D44"/>
    <w:rsid w:val="00A44BC6"/>
    <w:rsid w:val="00A46CCB"/>
    <w:rsid w:val="00A50CCA"/>
    <w:rsid w:val="00A539F0"/>
    <w:rsid w:val="00A55A8A"/>
    <w:rsid w:val="00A56378"/>
    <w:rsid w:val="00A62A51"/>
    <w:rsid w:val="00A6512D"/>
    <w:rsid w:val="00A659F9"/>
    <w:rsid w:val="00A65F11"/>
    <w:rsid w:val="00A7283E"/>
    <w:rsid w:val="00A7779B"/>
    <w:rsid w:val="00A778DC"/>
    <w:rsid w:val="00A849E6"/>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B7712"/>
    <w:rsid w:val="00AC41B2"/>
    <w:rsid w:val="00AC45EF"/>
    <w:rsid w:val="00AC4E6D"/>
    <w:rsid w:val="00AC7F57"/>
    <w:rsid w:val="00AD1D54"/>
    <w:rsid w:val="00AD20B3"/>
    <w:rsid w:val="00AD2135"/>
    <w:rsid w:val="00AD61E2"/>
    <w:rsid w:val="00AE06F3"/>
    <w:rsid w:val="00AE53C1"/>
    <w:rsid w:val="00AF0642"/>
    <w:rsid w:val="00B01B54"/>
    <w:rsid w:val="00B02E1F"/>
    <w:rsid w:val="00B06335"/>
    <w:rsid w:val="00B1031B"/>
    <w:rsid w:val="00B110FD"/>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5719"/>
    <w:rsid w:val="00B56630"/>
    <w:rsid w:val="00B65EAD"/>
    <w:rsid w:val="00B67204"/>
    <w:rsid w:val="00B70C25"/>
    <w:rsid w:val="00B715FA"/>
    <w:rsid w:val="00B73657"/>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0540"/>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7655F"/>
    <w:rsid w:val="00D8357F"/>
    <w:rsid w:val="00D84517"/>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53E7"/>
    <w:rsid w:val="00E5097E"/>
    <w:rsid w:val="00E53021"/>
    <w:rsid w:val="00E53C72"/>
    <w:rsid w:val="00E56DDC"/>
    <w:rsid w:val="00E70DFC"/>
    <w:rsid w:val="00E72EF5"/>
    <w:rsid w:val="00E74C32"/>
    <w:rsid w:val="00E7619D"/>
    <w:rsid w:val="00E76C04"/>
    <w:rsid w:val="00E76E21"/>
    <w:rsid w:val="00E808AF"/>
    <w:rsid w:val="00E82E70"/>
    <w:rsid w:val="00E830A6"/>
    <w:rsid w:val="00E83CF2"/>
    <w:rsid w:val="00E954DD"/>
    <w:rsid w:val="00E96D82"/>
    <w:rsid w:val="00E97838"/>
    <w:rsid w:val="00EB0206"/>
    <w:rsid w:val="00EB13F9"/>
    <w:rsid w:val="00EB3ED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3A7F"/>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39D"/>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4327"/>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1889872480">
      <w:bodyDiv w:val="1"/>
      <w:marLeft w:val="0"/>
      <w:marRight w:val="0"/>
      <w:marTop w:val="0"/>
      <w:marBottom w:val="0"/>
      <w:divBdr>
        <w:top w:val="none" w:sz="0" w:space="0" w:color="auto"/>
        <w:left w:val="none" w:sz="0" w:space="0" w:color="auto"/>
        <w:bottom w:val="none" w:sz="0" w:space="0" w:color="auto"/>
        <w:right w:val="none" w:sz="0" w:space="0" w:color="auto"/>
      </w:divBdr>
      <w:divsChild>
        <w:div w:id="2142846856">
          <w:marLeft w:val="0"/>
          <w:marRight w:val="0"/>
          <w:marTop w:val="0"/>
          <w:marBottom w:val="0"/>
          <w:divBdr>
            <w:top w:val="none" w:sz="0" w:space="0" w:color="auto"/>
            <w:left w:val="none" w:sz="0" w:space="0" w:color="auto"/>
            <w:bottom w:val="none" w:sz="0" w:space="0" w:color="auto"/>
            <w:right w:val="none" w:sz="0" w:space="0" w:color="auto"/>
          </w:divBdr>
          <w:divsChild>
            <w:div w:id="929656366">
              <w:marLeft w:val="0"/>
              <w:marRight w:val="0"/>
              <w:marTop w:val="0"/>
              <w:marBottom w:val="0"/>
              <w:divBdr>
                <w:top w:val="none" w:sz="0" w:space="0" w:color="auto"/>
                <w:left w:val="none" w:sz="0" w:space="0" w:color="auto"/>
                <w:bottom w:val="none" w:sz="0" w:space="0" w:color="auto"/>
                <w:right w:val="none" w:sz="0" w:space="0" w:color="auto"/>
              </w:divBdr>
              <w:divsChild>
                <w:div w:id="9850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it.gov/sites/default/files/commonclinicaldataset_ml_11-4-15.pdf" TargetMode="External"/><Relationship Id="rId21" Type="http://schemas.openxmlformats.org/officeDocument/2006/relationships/hyperlink" Target="https://www.healthpartners.com/ucm/groups/public/@hp/@public/documents/documents/cntrb_031064.pdf" TargetMode="External"/><Relationship Id="rId42" Type="http://schemas.openxmlformats.org/officeDocument/2006/relationships/hyperlink" Target="https://www.cdc.gov/careerpaths/k12teacherroadmap/epidemiology.html" TargetMode="External"/><Relationship Id="rId47" Type="http://schemas.openxmlformats.org/officeDocument/2006/relationships/hyperlink" Target="https://www.healthit.gov/patients-families/basics-health-it" TargetMode="External"/><Relationship Id="rId63" Type="http://schemas.openxmlformats.org/officeDocument/2006/relationships/hyperlink" Target="https://www.health.ny.gov/diseases/chronic/basicstat.htm" TargetMode="External"/><Relationship Id="rId68" Type="http://schemas.openxmlformats.org/officeDocument/2006/relationships/hyperlink" Target="http://searchhealthit.techtarget.com/definition/Health-IT-information-technology" TargetMode="External"/><Relationship Id="rId84" Type="http://schemas.openxmlformats.org/officeDocument/2006/relationships/hyperlink" Target="http://www.samhsa.gov/about-us" TargetMode="External"/><Relationship Id="rId89" Type="http://schemas.openxmlformats.org/officeDocument/2006/relationships/hyperlink" Target="https://www.medicaid.gov/federal-policy-guidance/downloads/cib-07-24-2013.pdf"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en.wikipedia.org/wiki/OAuth" TargetMode="External"/><Relationship Id="rId92" Type="http://schemas.openxmlformats.org/officeDocument/2006/relationships/hyperlink" Target="http://wiki.ihe.net/index.php/Cross-Community_Access" TargetMode="External"/><Relationship Id="rId2" Type="http://schemas.openxmlformats.org/officeDocument/2006/relationships/numbering" Target="numbering.xml"/><Relationship Id="rId16" Type="http://schemas.openxmlformats.org/officeDocument/2006/relationships/hyperlink" Target="http://www.samhsa.gov/about-us/who-we-are/laws/confidentiality-regulations-faqs" TargetMode="External"/><Relationship Id="rId29" Type="http://schemas.openxmlformats.org/officeDocument/2006/relationships/hyperlink" Target="https://www.healthit.gov/sites/default/files/clinicaldecisionsupport_tipsheet.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nnlm.gov/sea/funding/cbodef.html" TargetMode="External"/><Relationship Id="rId32" Type="http://schemas.openxmlformats.org/officeDocument/2006/relationships/hyperlink" Target="https://www2a.cdc.gov/vaccines/iis/iisstandards/vaccines.asp?rpt=cvx" TargetMode="External"/><Relationship Id="rId37" Type="http://schemas.openxmlformats.org/officeDocument/2006/relationships/hyperlink" Target="https://www.cms.gov/Outreach-and-Education/Medicare-Learning-Network-MLN/MLNProducts/downloads/Medicare_Beneficiaries_Dual_Eligibles_At_a_Glance.pdf" TargetMode="External"/><Relationship Id="rId40" Type="http://schemas.openxmlformats.org/officeDocument/2006/relationships/hyperlink" Target="https://www.cms.gov/Medicare/Coordination-of-Benefits-and-Recovery/Mandatory-Insurer-Reporting-For-Non-Group-Health-Plans/Archive/Downloads/NGHPInterfaceSpecVersion21.pdf" TargetMode="External"/><Relationship Id="rId45" Type="http://schemas.openxmlformats.org/officeDocument/2006/relationships/hyperlink" Target="https://www.healthit.gov/patients-families/faqs/what-health-information-exchange" TargetMode="External"/><Relationship Id="rId53" Type="http://schemas.openxmlformats.org/officeDocument/2006/relationships/hyperlink" Target="http://www.integration.samhsa.gov/about-us/what-is-integrated-care" TargetMode="External"/><Relationship Id="rId58" Type="http://schemas.openxmlformats.org/officeDocument/2006/relationships/hyperlink" Target="https://www.macpac.gov/medicaid-101/" TargetMode="External"/><Relationship Id="rId66" Type="http://schemas.openxmlformats.org/officeDocument/2006/relationships/hyperlink" Target="http://searchhealthit.techtarget.com/definition/Health-information-exchange-HIE" TargetMode="External"/><Relationship Id="rId74" Type="http://schemas.openxmlformats.org/officeDocument/2006/relationships/hyperlink" Target="http://www.cdc.gov/drugoverdose/pdmp/" TargetMode="External"/><Relationship Id="rId79" Type="http://schemas.openxmlformats.org/officeDocument/2006/relationships/hyperlink" Target="https://www.healthit.gov/public-course/interoperability-public-health/HITRC_lsn1073/wrap_menupage.htm" TargetMode="External"/><Relationship Id="rId87" Type="http://schemas.openxmlformats.org/officeDocument/2006/relationships/hyperlink" Target="https://en.wikipedia.org/wiki/Systematized_Nomenclature_of_Medicine"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medicaid.gov/medicaid-chip-program-information/by-topics/data-and-systems/medicaid-information-technology-architecture-mita.html" TargetMode="External"/><Relationship Id="rId82" Type="http://schemas.openxmlformats.org/officeDocument/2006/relationships/hyperlink" Target="http://www.hl7.org/implement/standards/rim.cfm" TargetMode="External"/><Relationship Id="rId90" Type="http://schemas.openxmlformats.org/officeDocument/2006/relationships/hyperlink" Target="https://www.boswell.io/" TargetMode="External"/><Relationship Id="rId95" Type="http://schemas.openxmlformats.org/officeDocument/2006/relationships/hyperlink" Target="http://www.ihe.net/Technical_Framework/upload/IHE_ITI_TF_Rev7-0_Vol1_FT_2010-08-10.pdf" TargetMode="External"/><Relationship Id="rId19" Type="http://schemas.openxmlformats.org/officeDocument/2006/relationships/hyperlink" Target="http://www.health.state.mn.us/healthreform/allpayer/faqapcd.pdf" TargetMode="External"/><Relationship Id="rId14" Type="http://schemas.openxmlformats.org/officeDocument/2006/relationships/hyperlink" Target="http://www.section508.gov/content/faq-final" TargetMode="External"/><Relationship Id="rId22" Type="http://schemas.openxmlformats.org/officeDocument/2006/relationships/hyperlink" Target="https://www.psychologytoday.com/blog/promoting-hope-preventing-suicide/200910/behavioral-health-versus-mental-health" TargetMode="External"/><Relationship Id="rId27" Type="http://schemas.openxmlformats.org/officeDocument/2006/relationships/hyperlink" Target="http://www.hl7.org/implement/standards/product_brief.cfm?product_id=7" TargetMode="External"/><Relationship Id="rId30" Type="http://schemas.openxmlformats.org/officeDocument/2006/relationships/hyperlink" Target="https://www.healthit.gov/public-course/interoperability-public-health/HITRC_lsn1073/wrap_menupage.htm" TargetMode="External"/><Relationship Id="rId35" Type="http://schemas.openxmlformats.org/officeDocument/2006/relationships/hyperlink" Target="https://en.wikipedia.org/wiki/Disease_surveillance" TargetMode="External"/><Relationship Id="rId43" Type="http://schemas.openxmlformats.org/officeDocument/2006/relationships/hyperlink" Target="https://www.medicaid.gov/Medicaid-CHIP-Program-Information/By-Topics/Benefits/Early-and-Periodic-Screening-Diagnostic-and-Treatment.html" TargetMode="External"/><Relationship Id="rId48" Type="http://schemas.openxmlformats.org/officeDocument/2006/relationships/hyperlink" Target="http://www.hl7.org/implement/standards/product_brief.cfm?product_id=185" TargetMode="External"/><Relationship Id="rId56" Type="http://schemas.openxmlformats.org/officeDocument/2006/relationships/hyperlink" Target="https://www.healthit.gov/providers-professionals/meaningful-use-definition-objectives" TargetMode="External"/><Relationship Id="rId64" Type="http://schemas.openxmlformats.org/officeDocument/2006/relationships/hyperlink" Target="https://www.health.ny.gov/diseases/chronic/basicstat.htm" TargetMode="External"/><Relationship Id="rId69" Type="http://schemas.openxmlformats.org/officeDocument/2006/relationships/hyperlink" Target="http://searchhealthit.techtarget.com/definition/Nationwide-Health-Information-Network-NHIN" TargetMode="External"/><Relationship Id="rId77" Type="http://schemas.openxmlformats.org/officeDocument/2006/relationships/hyperlink" Target="https://en.wikipedia.org/wiki/Personally_identifiable_information" TargetMode="External"/><Relationship Id="rId100" Type="http://schemas.openxmlformats.org/officeDocument/2006/relationships/chart" Target="charts/chart1.xml"/><Relationship Id="rId8" Type="http://schemas.openxmlformats.org/officeDocument/2006/relationships/hyperlink" Target="http://masschallenge.org/" TargetMode="External"/><Relationship Id="rId51" Type="http://schemas.openxmlformats.org/officeDocument/2006/relationships/hyperlink" Target="https://www.ihe.net/About_IHE/" TargetMode="External"/><Relationship Id="rId72" Type="http://schemas.openxmlformats.org/officeDocument/2006/relationships/hyperlink" Target="https://www.healthit.gov/newsroom/about-onc" TargetMode="External"/><Relationship Id="rId80" Type="http://schemas.openxmlformats.org/officeDocument/2006/relationships/hyperlink" Target="https://www.healthit.gov/providers-professionals/health-information-exchange/what-hie" TargetMode="External"/><Relationship Id="rId85" Type="http://schemas.openxmlformats.org/officeDocument/2006/relationships/hyperlink" Target="http://jamia.oxfordjournals.org/content/early/2016/02/16/jamia.ocv189" TargetMode="External"/><Relationship Id="rId93" Type="http://schemas.openxmlformats.org/officeDocument/2006/relationships/hyperlink" Target="http://wiki.ihe.net/index.php/Cross-Community_Patient_Discovery" TargetMode="External"/><Relationship Id="rId98" Type="http://schemas.openxmlformats.org/officeDocument/2006/relationships/hyperlink" Target="http://hl7.org/fhir/2016May/http.html" TargetMode="Externa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en.wikipedia.org/wiki/Acute_care" TargetMode="External"/><Relationship Id="rId25" Type="http://schemas.openxmlformats.org/officeDocument/2006/relationships/hyperlink" Target="http://www.hl7.org/implement/standards/product_brief.cfm?product_id=6" TargetMode="External"/><Relationship Id="rId33" Type="http://schemas.openxmlformats.org/officeDocument/2006/relationships/hyperlink" Target="https://en.wikipedia.org/wiki/Developmental_disability" TargetMode="External"/><Relationship Id="rId38" Type="http://schemas.openxmlformats.org/officeDocument/2006/relationships/hyperlink" Target="https://ecqi.healthit.gov/ecqm" TargetMode="External"/><Relationship Id="rId46" Type="http://schemas.openxmlformats.org/officeDocument/2006/relationships/hyperlink" Target="http://geekdoctor.blogspot.com/2014/03/a-primer-on-meaningful-use-and-hisps.html" TargetMode="External"/><Relationship Id="rId59" Type="http://schemas.openxmlformats.org/officeDocument/2006/relationships/hyperlink" Target="https://www.medicare.gov/sign-up-change-plans/decide-how-to-get-medicare/whats-medicare/what-is-medicare.html" TargetMode="External"/><Relationship Id="rId67" Type="http://schemas.openxmlformats.org/officeDocument/2006/relationships/hyperlink" Target="http://searchhealthit.techtarget.com/definition/ONC" TargetMode="External"/><Relationship Id="rId103" Type="http://schemas.openxmlformats.org/officeDocument/2006/relationships/theme" Target="theme/theme1.xml"/><Relationship Id="rId20" Type="http://schemas.openxmlformats.org/officeDocument/2006/relationships/hyperlink" Target="https://www.astm.org/" TargetMode="External"/><Relationship Id="rId41" Type="http://schemas.openxmlformats.org/officeDocument/2006/relationships/hyperlink" Target="https://en.wikipedia.org/wiki/Emergency_medical_services" TargetMode="External"/><Relationship Id="rId54" Type="http://schemas.openxmlformats.org/officeDocument/2006/relationships/hyperlink" Target="http://loinc.org/" TargetMode="External"/><Relationship Id="rId62" Type="http://schemas.openxmlformats.org/officeDocument/2006/relationships/hyperlink" Target="http://rcwiki.azurewebsites.net/index.php?title=MITA_Maturity_Model" TargetMode="External"/><Relationship Id="rId70" Type="http://schemas.openxmlformats.org/officeDocument/2006/relationships/hyperlink" Target="https://www.nih.gov/about-nih" TargetMode="External"/><Relationship Id="rId75" Type="http://schemas.openxmlformats.org/officeDocument/2006/relationships/hyperlink" Target="https://www.healthit.gov/public-course/interoperability-public-health/HITRC_lsn1073/wrap_menupage.htm" TargetMode="External"/><Relationship Id="rId83" Type="http://schemas.openxmlformats.org/officeDocument/2006/relationships/hyperlink" Target="https://www.nlm.nih.gov/research/umls/rxnorm/" TargetMode="External"/><Relationship Id="rId88" Type="http://schemas.openxmlformats.org/officeDocument/2006/relationships/hyperlink" Target="http://hapifhir.io/" TargetMode="External"/><Relationship Id="rId91" Type="http://schemas.openxmlformats.org/officeDocument/2006/relationships/hyperlink" Target="http://www.ihi.org/engage/initiatives/tripleaim/pages/default.aspx" TargetMode="External"/><Relationship Id="rId96" Type="http://schemas.openxmlformats.org/officeDocument/2006/relationships/hyperlink" Target="http://wiki.ihe.net/index.php/Cross-Enterprise_Document_Sharing"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www.samhsa.gov/sites/default/files/faqs-applying-confidentiality-regulations-to-hie.pdf" TargetMode="External"/><Relationship Id="rId23" Type="http://schemas.openxmlformats.org/officeDocument/2006/relationships/hyperlink" Target="https://www.healthit.gov/patients-families/faqs/what-blue-button" TargetMode="External"/><Relationship Id="rId28" Type="http://schemas.openxmlformats.org/officeDocument/2006/relationships/hyperlink" Target="https://www.nlm.nih.gov/cde/" TargetMode="External"/><Relationship Id="rId36" Type="http://schemas.openxmlformats.org/officeDocument/2006/relationships/hyperlink" Target="http://hapifhir.io/" TargetMode="External"/><Relationship Id="rId49" Type="http://schemas.openxmlformats.org/officeDocument/2006/relationships/hyperlink" Target="http://searchhealthit.techtarget.com/definition/ICD-10" TargetMode="External"/><Relationship Id="rId57" Type="http://schemas.openxmlformats.org/officeDocument/2006/relationships/hyperlink" Target="http://searchhealthit.techtarget.com/definition/meaningful-use-attestation" TargetMode="Externa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www.healthit.gov/providers-professionals/health-information-exchange/what-hie" TargetMode="External"/><Relationship Id="rId44" Type="http://schemas.openxmlformats.org/officeDocument/2006/relationships/hyperlink" Target="https://www.medicaid.gov/Medicaid-CHIP-Program-Information/By-Topics/Long-Term-Services-and-Supports/Home-and-Community-Based-Services/Home-and-Community-Based-Services.html" TargetMode="External"/><Relationship Id="rId52" Type="http://schemas.openxmlformats.org/officeDocument/2006/relationships/hyperlink" Target="https://www.health.ny.gov/diseases/chronic/basicstat.htm" TargetMode="External"/><Relationship Id="rId60" Type="http://schemas.openxmlformats.org/officeDocument/2006/relationships/hyperlink" Target="http://mehi.masstech.org/Mission" TargetMode="External"/><Relationship Id="rId65" Type="http://schemas.openxmlformats.org/officeDocument/2006/relationships/hyperlink" Target="https://ushik.ahrq.gov/ViewItemDetails?system=ps&amp;itemKey=88720000" TargetMode="External"/><Relationship Id="rId73" Type="http://schemas.openxmlformats.org/officeDocument/2006/relationships/hyperlink" Target="https://en.wikipedia.org/wiki/OpenID" TargetMode="External"/><Relationship Id="rId78" Type="http://schemas.openxmlformats.org/officeDocument/2006/relationships/hyperlink" Target="https://www.health.ny.gov/diseases/chronic/basicstat.htm" TargetMode="External"/><Relationship Id="rId81" Type="http://schemas.openxmlformats.org/officeDocument/2006/relationships/hyperlink" Target="http://www.hl7.org/implement/standards/product_brief.cfm?product_id=35" TargetMode="External"/><Relationship Id="rId86" Type="http://schemas.openxmlformats.org/officeDocument/2006/relationships/hyperlink" Target="https://www.nimh.nih.gov/about/director/2013/getting-serious-about-mental-illnesses.shtml" TargetMode="External"/><Relationship Id="rId94" Type="http://schemas.openxmlformats.org/officeDocument/2006/relationships/hyperlink" Target="http://www.ihe.net/Technical_Framework/upload/IHE_ITI_TF_Rev7-0_Vol1_FT_2010-08-10.pdf" TargetMode="External"/><Relationship Id="rId99" Type="http://schemas.openxmlformats.org/officeDocument/2006/relationships/hyperlink" Target="http://www.nationalresearch.com/products-and-solutions/patient-and-family-experience/eight-dimensions-of-patient-centered-care/" TargetMode="External"/><Relationship Id="rId101" Type="http://schemas.openxmlformats.org/officeDocument/2006/relationships/hyperlink" Target="https://www.boswell.io/"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3" Type="http://schemas.openxmlformats.org/officeDocument/2006/relationships/hyperlink" Target="https://www.truevault.com/blog/how-do-i-become-hipaa-compliant.html" TargetMode="External"/><Relationship Id="rId18" Type="http://schemas.openxmlformats.org/officeDocument/2006/relationships/hyperlink" Target="https://en.wikipedia.org/wiki/Ambulatory_care" TargetMode="External"/><Relationship Id="rId39" Type="http://schemas.openxmlformats.org/officeDocument/2006/relationships/hyperlink" Target="https://www.cms.gov/Medicare/Coordination-of-Benefits-and-Recovery/Mandatory-Insurer-Reporting-For-Non-Group-Health-Plans/Archive/Downloads/NGHPInterfaceSpecVersion21.pdf" TargetMode="External"/><Relationship Id="rId34" Type="http://schemas.openxmlformats.org/officeDocument/2006/relationships/hyperlink" Target="https://www.healthit.gov/providers-professionals/health-information-exchange/what-hie" TargetMode="External"/><Relationship Id="rId50" Type="http://schemas.openxmlformats.org/officeDocument/2006/relationships/hyperlink" Target="http://www.beckershospitalreview.com/hospital-physician-relationships/who-what-and-why-the-basics-of-integrated-care-organizations.html" TargetMode="External"/><Relationship Id="rId55" Type="http://schemas.openxmlformats.org/officeDocument/2006/relationships/hyperlink" Target="https://www.medicaid.gov/medicaid-chip-program-information/by-topics/delivery-systems/managed-care/managed-care-site.html" TargetMode="External"/><Relationship Id="rId76" Type="http://schemas.openxmlformats.org/officeDocument/2006/relationships/hyperlink" Target="https://www.healthit.gov/providers-professionals/faqs/what-personal-health-record" TargetMode="External"/><Relationship Id="rId97" Type="http://schemas.openxmlformats.org/officeDocument/2006/relationships/hyperlink" Target="http://hl7.org/fhir/2016May/compartmentdefinition.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BFF132-3DF2-4584-9C08-00FB8199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40</Pages>
  <Words>16632</Words>
  <Characters>94807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Quinn, Greg</dc:creator>
  <cp:keywords/>
  <dc:description/>
  <cp:lastModifiedBy>Quinn, Greg</cp:lastModifiedBy>
  <cp:revision>782</cp:revision>
  <dcterms:created xsi:type="dcterms:W3CDTF">2016-07-25T13:32:00Z</dcterms:created>
  <dcterms:modified xsi:type="dcterms:W3CDTF">2016-10-06T18:38:00Z</dcterms:modified>
</cp:coreProperties>
</file>