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Sample Markdown Document</w:t>
      </w:r>
    </w:p>
    <w:p>
      <w:pPr>
        <w:pStyle w:val="Author"/>
      </w:pPr>
      <w:r>
        <w:t xml:space="preserve">Test Author</w:t>
      </w:r>
    </w:p>
    <w:p>
      <w:pPr>
        <w:pStyle w:val="Date"/>
      </w:pPr>
      <w:r>
        <w:t xml:space="preserve">2025-01-15</w:t>
      </w:r>
    </w:p>
    <w:bookmarkStart w:id="16" w:name="introduction"/>
    <w:p>
      <w:pPr>
        <w:pStyle w:val="Heading1"/>
      </w:pPr>
      <w:r>
        <w:t xml:space="preserve">Introduction</w:t>
      </w:r>
    </w:p>
    <w:p>
      <w:pPr>
        <w:pStyle w:val="FirstParagraph"/>
      </w:pPr>
      <w:r>
        <w:t xml:space="preserve">This is a sample Markdown document used for testing library document ingestion. It contains multiple heading levels, code blocks, and various formatting elements to validate the stream-based extraction pipeline.</w:t>
      </w:r>
    </w:p>
    <w:bookmarkStart w:id="11" w:name="section-1-text-content"/>
    <w:p>
      <w:pPr>
        <w:pStyle w:val="Heading2"/>
      </w:pPr>
      <w:r>
        <w:t xml:space="preserve">Section 1: Text Content</w:t>
      </w:r>
    </w:p>
    <w:p>
      <w:pPr>
        <w:pStyle w:val="FirstParagraph"/>
      </w:pPr>
      <w:r>
        <w:t xml:space="preserve">Lorem ipsum dolor sit amet, consectetur adipiscing elit. Sed do eiusmod tempor incididunt ut labore et dolore magna aliqua. Ut enim ad minim veniam, quis nostrud exercitation ullamco laboris nisi ut aliquip ex ea commodo consequat.</w:t>
      </w:r>
    </w:p>
    <w:p>
      <w:pPr>
        <w:pStyle w:val="BodyText"/>
      </w:pPr>
      <w:r>
        <w:t xml:space="preserve">Duis aute irure dolor in reprehenderit in voluptate velit esse cillum dolore eu fugiat nulla pariatur. Excepteur sint occaecat cupidatat non proident, sunt in culpa qui officia deserunt mollit anim id est laborum.</w:t>
      </w:r>
    </w:p>
    <w:bookmarkStart w:id="9" w:name="subsection-1.1-lists"/>
    <w:p>
      <w:pPr>
        <w:pStyle w:val="Heading3"/>
      </w:pPr>
      <w:r>
        <w:t xml:space="preserve">Subsection 1.1: Lists</w:t>
      </w:r>
    </w:p>
    <w:p>
      <w:pPr>
        <w:pStyle w:val="Compact"/>
        <w:numPr>
          <w:ilvl w:val="0"/>
          <w:numId w:val="1001"/>
        </w:numPr>
      </w:pPr>
      <w:r>
        <w:t xml:space="preserve">First item in unordered list</w:t>
      </w:r>
    </w:p>
    <w:p>
      <w:pPr>
        <w:pStyle w:val="Compact"/>
        <w:numPr>
          <w:ilvl w:val="0"/>
          <w:numId w:val="1001"/>
        </w:numPr>
      </w:pPr>
      <w:r>
        <w:t xml:space="preserve">Second item with</w:t>
      </w:r>
      <w:r>
        <w:t xml:space="preserve"> </w:t>
      </w:r>
      <w:r>
        <w:rPr>
          <w:b/>
          <w:bCs/>
        </w:rPr>
        <w:t xml:space="preserve">bold text</w:t>
      </w:r>
    </w:p>
    <w:p>
      <w:pPr>
        <w:pStyle w:val="Compact"/>
        <w:numPr>
          <w:ilvl w:val="0"/>
          <w:numId w:val="1001"/>
        </w:numPr>
      </w:pPr>
      <w:r>
        <w:t xml:space="preserve">Third item with</w:t>
      </w:r>
      <w:r>
        <w:t xml:space="preserve"> </w:t>
      </w:r>
      <w:r>
        <w:rPr>
          <w:i/>
          <w:iCs/>
        </w:rPr>
        <w:t xml:space="preserve">italic text</w:t>
      </w:r>
    </w:p>
    <w:p>
      <w:pPr>
        <w:pStyle w:val="Compact"/>
        <w:numPr>
          <w:ilvl w:val="0"/>
          <w:numId w:val="1001"/>
        </w:numPr>
      </w:pPr>
      <w:r>
        <w:t xml:space="preserve">Fourth item with</w:t>
      </w:r>
      <w:r>
        <w:t xml:space="preserve"> </w:t>
      </w:r>
      <w:r>
        <w:rPr>
          <w:rStyle w:val="VerbatimChar"/>
        </w:rPr>
        <w:t xml:space="preserve">inline code</w:t>
      </w:r>
    </w:p>
    <w:p>
      <w:pPr>
        <w:pStyle w:val="Compact"/>
        <w:numPr>
          <w:ilvl w:val="0"/>
          <w:numId w:val="1002"/>
        </w:numPr>
      </w:pPr>
      <w:r>
        <w:t xml:space="preserve">First ordered item</w:t>
      </w:r>
    </w:p>
    <w:p>
      <w:pPr>
        <w:pStyle w:val="Compact"/>
        <w:numPr>
          <w:ilvl w:val="0"/>
          <w:numId w:val="1002"/>
        </w:numPr>
      </w:pPr>
      <w:r>
        <w:t xml:space="preserve">Second ordered item</w:t>
      </w:r>
    </w:p>
    <w:p>
      <w:pPr>
        <w:pStyle w:val="Compact"/>
        <w:numPr>
          <w:ilvl w:val="0"/>
          <w:numId w:val="1002"/>
        </w:numPr>
      </w:pPr>
      <w:r>
        <w:t xml:space="preserve">Third ordered item</w:t>
      </w:r>
    </w:p>
    <w:bookmarkEnd w:id="9"/>
    <w:bookmarkStart w:id="10" w:name="subsection-1.2-code-blocks"/>
    <w:p>
      <w:pPr>
        <w:pStyle w:val="Heading3"/>
      </w:pPr>
      <w:r>
        <w:t xml:space="preserve">Subsection 1.2: Code Blocks</w:t>
      </w:r>
    </w:p>
    <w:p>
      <w:pPr>
        <w:pStyle w:val="SourceCode"/>
      </w:pPr>
      <w:r>
        <w:rPr>
          <w:rStyle w:val="KeywordTok"/>
        </w:rPr>
        <w:t xml:space="preserve">def</w:t>
      </w:r>
      <w:r>
        <w:rPr>
          <w:rStyle w:val="NormalTok"/>
        </w:rPr>
        <w:t xml:space="preserve"> fibonacci(n: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"""Calculate the nth Fibonacci number."""</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w:t>
      </w:r>
      <w:r>
        <w:br/>
      </w:r>
      <w:r>
        <w:rPr>
          <w:rStyle w:val="NormalTok"/>
        </w:rPr>
        <w:t xml:space="preserve">    </w:t>
      </w:r>
      <w:r>
        <w:rPr>
          <w:rStyle w:val="ControlFlowTok"/>
        </w:rPr>
        <w:t xml:space="preserve">return</w:t>
      </w:r>
      <w:r>
        <w:rPr>
          <w:rStyle w:val="NormalTok"/>
        </w:rPr>
        <w:t xml:space="preserve"> fibonacci(n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fibonacci(n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CommentTok"/>
        </w:rPr>
        <w:t xml:space="preserve"># Example usage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w:t>
      </w:r>
      <w:r>
        <w:rPr>
          <w:rStyle w:val="SpecialCharTok"/>
        </w:rPr>
        <w:t xml:space="preserve">{</w:t>
      </w:r>
      <w:r>
        <w:rPr>
          <w:rStyle w:val="NormalTok"/>
        </w:rPr>
        <w:t xml:space="preserve">i</w:t>
      </w:r>
      <w:r>
        <w:rPr>
          <w:rStyle w:val="SpecialCharTok"/>
        </w:rPr>
        <w:t xml:space="preserve">}</w:t>
      </w:r>
      <w:r>
        <w:rPr>
          <w:rStyle w:val="SpecialStringTok"/>
        </w:rPr>
        <w:t xml:space="preserve">) = </w:t>
      </w:r>
      <w:r>
        <w:rPr>
          <w:rStyle w:val="SpecialCharTok"/>
        </w:rPr>
        <w:t xml:space="preserve">{</w:t>
      </w:r>
      <w:r>
        <w:rPr>
          <w:rStyle w:val="NormalTok"/>
        </w:rPr>
        <w:t xml:space="preserve">fibonacci(i)</w:t>
      </w:r>
      <w:r>
        <w:rPr>
          <w:rStyle w:val="SpecialCharTok"/>
        </w:rPr>
        <w:t xml:space="preserve">}</w:t>
      </w:r>
      <w:r>
        <w:rPr>
          <w:rStyle w:val="SpecialStringTok"/>
        </w:rPr>
        <w:t xml:space="preserve">"</w:t>
      </w:r>
      <w:r>
        <w:rPr>
          <w:rStyle w:val="NormalTok"/>
        </w:rPr>
        <w:t xml:space="preserve">)</w:t>
      </w:r>
    </w:p>
    <w:p>
      <w:pPr>
        <w:pStyle w:val="SourceCode"/>
      </w:pPr>
      <w:r>
        <w:rPr>
          <w:rStyle w:val="KeywordTok"/>
        </w:rPr>
        <w:t xml:space="preserve">fn</w:t>
      </w:r>
      <w:r>
        <w:rPr>
          <w:rStyle w:val="NormalTok"/>
        </w:rPr>
        <w:t xml:space="preserve"> main() </w:t>
      </w:r>
      <w:r>
        <w:rPr>
          <w:rStyle w:val="OperatorTok"/>
        </w:rPr>
        <w:t xml:space="preserve">{</w:t>
      </w:r>
      <w:r>
        <w:br/>
      </w:r>
      <w:r>
        <w:rPr>
          <w:rStyle w:val="NormalTok"/>
        </w:rPr>
        <w:t xml:space="preserve">    </w:t>
      </w:r>
      <w:r>
        <w:rPr>
          <w:rStyle w:val="KeywordTok"/>
        </w:rPr>
        <w:t xml:space="preserve">let</w:t>
      </w:r>
      <w:r>
        <w:rPr>
          <w:rStyle w:val="NormalTok"/>
        </w:rPr>
        <w:t xml:space="preserve"> numbers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i32</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10</w:t>
      </w:r>
      <w:r>
        <w:rPr>
          <w:rStyle w:val="NormalTok"/>
        </w:rPr>
        <w:t xml:space="preserve">)</w:t>
      </w:r>
      <w:r>
        <w:rPr>
          <w:rStyle w:val="OperatorTok"/>
        </w:rPr>
        <w:t xml:space="preserve">.</w:t>
      </w:r>
      <w:r>
        <w:rPr>
          <w:rStyle w:val="NormalTok"/>
        </w:rPr>
        <w:t xml:space="preserve">collect()</w:t>
      </w:r>
      <w:r>
        <w:rPr>
          <w:rStyle w:val="OperatorTok"/>
        </w:rPr>
        <w:t xml:space="preserve">;</w:t>
      </w:r>
      <w:r>
        <w:br/>
      </w:r>
      <w:r>
        <w:rPr>
          <w:rStyle w:val="NormalTok"/>
        </w:rPr>
        <w:t xml:space="preserve">    </w:t>
      </w:r>
      <w:r>
        <w:rPr>
          <w:rStyle w:val="KeywordTok"/>
        </w:rPr>
        <w:t xml:space="preserve">let</w:t>
      </w:r>
      <w:r>
        <w:rPr>
          <w:rStyle w:val="NormalTok"/>
        </w:rPr>
        <w:t xml:space="preserve"> sum</w:t>
      </w:r>
      <w:r>
        <w:rPr>
          <w:rStyle w:val="OperatorTok"/>
        </w:rPr>
        <w:t xml:space="preserve">:</w:t>
      </w:r>
      <w:r>
        <w:rPr>
          <w:rStyle w:val="NormalTok"/>
        </w:rPr>
        <w:t xml:space="preserve"> </w:t>
      </w:r>
      <w:r>
        <w:rPr>
          <w:rStyle w:val="DataTypeTok"/>
        </w:rPr>
        <w:t xml:space="preserve">i32</w:t>
      </w:r>
      <w:r>
        <w:rPr>
          <w:rStyle w:val="NormalTok"/>
        </w:rPr>
        <w:t xml:space="preserve"> </w:t>
      </w:r>
      <w:r>
        <w:rPr>
          <w:rStyle w:val="OperatorTok"/>
        </w:rPr>
        <w:t xml:space="preserve">=</w:t>
      </w:r>
      <w:r>
        <w:rPr>
          <w:rStyle w:val="NormalTok"/>
        </w:rPr>
        <w:t xml:space="preserve"> numbers</w:t>
      </w:r>
      <w:r>
        <w:rPr>
          <w:rStyle w:val="OperatorTok"/>
        </w:rPr>
        <w:t xml:space="preserve">.</w:t>
      </w:r>
      <w:r>
        <w:rPr>
          <w:rStyle w:val="NormalTok"/>
        </w:rPr>
        <w:t xml:space="preserve">iter()</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PreprocessorTok"/>
        </w:rPr>
        <w:t xml:space="preserve">println!</w:t>
      </w:r>
      <w:r>
        <w:rPr>
          <w:rStyle w:val="NormalTok"/>
        </w:rPr>
        <w:t xml:space="preserve">(</w:t>
      </w:r>
      <w:r>
        <w:rPr>
          <w:rStyle w:val="StringTok"/>
        </w:rPr>
        <w:t xml:space="preserve">"Sum of 1..10 = {}"</w:t>
      </w:r>
      <w:r>
        <w:rPr>
          <w:rStyle w:val="OperatorTok"/>
        </w:rPr>
        <w:t xml:space="preserve">,</w:t>
      </w:r>
      <w:r>
        <w:rPr>
          <w:rStyle w:val="NormalTok"/>
        </w:rPr>
        <w:t xml:space="preserve"> sum)</w:t>
      </w:r>
      <w:r>
        <w:rPr>
          <w:rStyle w:val="OperatorTok"/>
        </w:rPr>
        <w:t xml:space="preserve">;</w:t>
      </w:r>
      <w:r>
        <w:br/>
      </w:r>
      <w:r>
        <w:rPr>
          <w:rStyle w:val="OperatorTok"/>
        </w:rPr>
        <w:t xml:space="preserve">}</w:t>
      </w:r>
    </w:p>
    <w:bookmarkEnd w:id="10"/>
    <w:bookmarkEnd w:id="11"/>
    <w:bookmarkStart w:id="13" w:name="section-2-tables-and-links"/>
    <w:p>
      <w:pPr>
        <w:pStyle w:val="Heading2"/>
      </w:pPr>
      <w:r>
        <w:t xml:space="preserve">Section 2: Tables and Links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Family</w:t>
            </w:r>
          </w:p>
        </w:tc>
        <w:tc>
          <w:tcPr/>
          <w:p>
            <w:pPr>
              <w:pStyle w:val="Compact"/>
            </w:pPr>
            <w:r>
              <w:t xml:space="preserve">Extension</w:t>
            </w:r>
          </w:p>
        </w:tc>
      </w:tr>
      <w:tr>
        <w:tc>
          <w:tcPr/>
          <w:p>
            <w:pPr>
              <w:pStyle w:val="Compact"/>
            </w:pPr>
            <w:r>
              <w:t xml:space="preserve">PDF</w:t>
            </w:r>
          </w:p>
        </w:tc>
        <w:tc>
          <w:tcPr/>
          <w:p>
            <w:pPr>
              <w:pStyle w:val="Compact"/>
            </w:pPr>
            <w:r>
              <w:t xml:space="preserve">Page-based</w:t>
            </w:r>
          </w:p>
        </w:tc>
        <w:tc>
          <w:tcPr/>
          <w:p>
            <w:pPr>
              <w:pStyle w:val="Compact"/>
            </w:pPr>
            <w:r>
              <w:t xml:space="preserve">.pdf</w:t>
            </w:r>
          </w:p>
        </w:tc>
      </w:tr>
      <w:tr>
        <w:tc>
          <w:tcPr/>
          <w:p>
            <w:pPr>
              <w:pStyle w:val="Compact"/>
            </w:pPr>
            <w:r>
              <w:t xml:space="preserve">Markdown</w:t>
            </w:r>
          </w:p>
        </w:tc>
        <w:tc>
          <w:tcPr/>
          <w:p>
            <w:pPr>
              <w:pStyle w:val="Compact"/>
            </w:pPr>
            <w:r>
              <w:t xml:space="preserve">Stream-based</w:t>
            </w:r>
          </w:p>
        </w:tc>
        <w:tc>
          <w:tcPr/>
          <w:p>
            <w:pPr>
              <w:pStyle w:val="Compact"/>
            </w:pPr>
            <w:r>
              <w:t xml:space="preserve">.md</w:t>
            </w:r>
          </w:p>
        </w:tc>
      </w:tr>
      <w:tr>
        <w:tc>
          <w:tcPr/>
          <w:p>
            <w:pPr>
              <w:pStyle w:val="Compact"/>
            </w:pPr>
            <w:r>
              <w:t xml:space="preserve">EPUB</w:t>
            </w:r>
          </w:p>
        </w:tc>
        <w:tc>
          <w:tcPr/>
          <w:p>
            <w:pPr>
              <w:pStyle w:val="Compact"/>
            </w:pPr>
            <w:r>
              <w:t xml:space="preserve">Stream-based</w:t>
            </w:r>
          </w:p>
        </w:tc>
        <w:tc>
          <w:tcPr/>
          <w:p>
            <w:pPr>
              <w:pStyle w:val="Compact"/>
            </w:pPr>
            <w:r>
              <w:t xml:space="preserve">.epub</w:t>
            </w:r>
          </w:p>
        </w:tc>
      </w:tr>
      <w:tr>
        <w:tc>
          <w:tcPr/>
          <w:p>
            <w:pPr>
              <w:pStyle w:val="Compact"/>
            </w:pPr>
            <w:r>
              <w:t xml:space="preserve">DOCX</w:t>
            </w:r>
          </w:p>
        </w:tc>
        <w:tc>
          <w:tcPr/>
          <w:p>
            <w:pPr>
              <w:pStyle w:val="Compact"/>
            </w:pPr>
            <w:r>
              <w:t xml:space="preserve">Page-based</w:t>
            </w:r>
          </w:p>
        </w:tc>
        <w:tc>
          <w:tcPr/>
          <w:p>
            <w:pPr>
              <w:pStyle w:val="Compact"/>
            </w:pPr>
            <w:r>
              <w:t xml:space="preserve">.docx</w:t>
            </w:r>
          </w:p>
        </w:tc>
      </w:tr>
    </w:tbl>
    <w:p>
      <w:pPr>
        <w:pStyle w:val="BodyText"/>
      </w:pPr>
      <w:r>
        <w:t xml:space="preserve">For more information, see the</w:t>
      </w:r>
      <w:r>
        <w:t xml:space="preserve"> </w:t>
      </w:r>
      <w:hyperlink r:id="rId12">
        <w:r>
          <w:rPr>
            <w:rStyle w:val="Hyperlink"/>
          </w:rPr>
          <w:t xml:space="preserve">project documentation</w:t>
        </w:r>
      </w:hyperlink>
      <w:r>
        <w:t xml:space="preserve">.</w:t>
      </w:r>
    </w:p>
    <w:bookmarkEnd w:id="13"/>
    <w:bookmarkStart w:id="14" w:name="section-3-block-quotes-and-emphasis"/>
    <w:p>
      <w:pPr>
        <w:pStyle w:val="Heading2"/>
      </w:pPr>
      <w:r>
        <w:t xml:space="preserve">Section 3: Block Quotes and Emphasis</w:t>
      </w:r>
    </w:p>
    <w:p>
      <w:pPr>
        <w:pStyle w:val="BlockText"/>
      </w:pPr>
      <w:r>
        <w:t xml:space="preserve">“The best way to predict the future is to invent it.”</w:t>
      </w:r>
      <w:r>
        <w:t xml:space="preserve"> </w:t>
      </w:r>
      <w:r>
        <w:t xml:space="preserve">– Alan Kay</w:t>
      </w:r>
    </w:p>
    <w:p>
      <w:pPr>
        <w:pStyle w:val="FirstParagraph"/>
      </w:pPr>
      <w:r>
        <w:t xml:space="preserve">This section tests</w:t>
      </w:r>
      <w:r>
        <w:t xml:space="preserve"> </w:t>
      </w:r>
      <w:r>
        <w:rPr>
          <w:b/>
          <w:bCs/>
        </w:rPr>
        <w:t xml:space="preserve">bold</w:t>
      </w:r>
      <w:r>
        <w:t xml:space="preserve">,</w:t>
      </w:r>
      <w:r>
        <w:t xml:space="preserve"> </w:t>
      </w:r>
      <w:r>
        <w:rPr>
          <w:i/>
          <w:iCs/>
        </w:rPr>
        <w:t xml:space="preserve">italic</w:t>
      </w:r>
      <w:r>
        <w:t xml:space="preserve">,</w:t>
      </w:r>
      <w:r>
        <w:t xml:space="preserve"> </w:t>
      </w:r>
      <w:r>
        <w:rPr>
          <w:b/>
          <w:bCs/>
          <w:i/>
          <w:iCs/>
        </w:rPr>
        <w:t xml:space="preserve">bold italic</w:t>
      </w:r>
      <w:r>
        <w:t xml:space="preserve">, and</w:t>
      </w:r>
      <w:r>
        <w:t xml:space="preserve"> </w:t>
      </w:r>
      <w:r>
        <w:rPr>
          <w:strike/>
        </w:rPr>
        <w:t xml:space="preserve">strikethrough</w:t>
      </w:r>
      <w:r>
        <w:t xml:space="preserve"> </w:t>
      </w:r>
      <w:r>
        <w:t xml:space="preserve">formatting.</w:t>
      </w:r>
    </w:p>
    <w:bookmarkEnd w:id="14"/>
    <w:bookmarkStart w:id="15" w:name="conclusion"/>
    <w:p>
      <w:pPr>
        <w:pStyle w:val="Heading2"/>
      </w:pPr>
      <w:r>
        <w:t xml:space="preserve">Conclusion</w:t>
      </w:r>
    </w:p>
    <w:p>
      <w:pPr>
        <w:pStyle w:val="FirstParagraph"/>
      </w:pPr>
      <w:r>
        <w:t xml:space="preserve">This document serves as a comprehensive test fixture for the stream-based document extraction and chunking pipeline. It validates that heading hierarchy, code blocks, tables, and inline formatting are correctly preserved through the ingestion process.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example.com/docs" TargetMode="External" /></Relationships>
</file>

<file path=word/_rels/footnotes.xml.rels><?xml version="1.0" encoding="UTF-8"?><Relationships xmlns="http://schemas.openxmlformats.org/package/2006/relationships"><Relationship Type="http://schemas.openxmlformats.org/officeDocument/2006/relationships/hyperlink" Id="rId12" Target="https://example.com/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Markdown Document</dc:title>
  <dc:creator>Test Author</dc:creator>
  <cp:keywords/>
  <dcterms:created xsi:type="dcterms:W3CDTF">2026-02-15T19:59:00Z</dcterms:created>
  <dcterms:modified xsi:type="dcterms:W3CDTF">2026-02-15T19:59:00Z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2025-01-15</vt:lpwstr>
  </property>
  <property fmtid="{D5CDD505-2E9C-101B-9397-08002B2CF9AE}" pid="3" name="tags">
    <vt:lpwstr/>
  </property>
</Properties>
</file>