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Logical Errors</w:t>
      </w:r>
    </w:p>
    <w:p w:rsidR="00000000" w:rsidDel="00000000" w:rsidP="00000000" w:rsidRDefault="00000000" w:rsidRPr="00000000" w14:paraId="0000000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Asymmetrical Blind-Spot Assumption:</w:t>
      </w:r>
      <w:r w:rsidDel="00000000" w:rsidR="00000000" w:rsidRPr="00000000">
        <w:rPr>
          <w:rFonts w:ascii="Google Sans" w:cs="Google Sans" w:eastAsia="Google Sans" w:hAnsi="Google Sans"/>
          <w:color w:val="1f1f1f"/>
          <w:rtl w:val="0"/>
        </w:rPr>
        <w:t xml:space="preserve"> The core premise relies on the assumption that a panel of LLMs will possess uncorrelated blind spots because they are trained by different organizations. However, the paper simultaneously notes that frontier proprietary models "tend to converge" due to overlapping training corpora. The assumption that open-weight architectures from different geographic regions completely escape this data convergence is an invalid inference; they still rely heavily on the same publicly indexed global academic literature, Web crawls, and open-source code repositories (e.g., GitHub, CRAN), meaning their "priors" may remain highly correlated regarding specific academic domains.</w:t>
      </w:r>
    </w:p>
    <w:p w:rsidR="00000000" w:rsidDel="00000000" w:rsidP="00000000" w:rsidRDefault="00000000" w:rsidRPr="00000000" w14:paraId="0000000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Confounding Software Testing with Paper Review:</w:t>
      </w:r>
      <w:r w:rsidDel="00000000" w:rsidR="00000000" w:rsidRPr="00000000">
        <w:rPr>
          <w:rFonts w:ascii="Google Sans" w:cs="Google Sans" w:eastAsia="Google Sans" w:hAnsi="Google Sans"/>
          <w:color w:val="1f1f1f"/>
          <w:rtl w:val="0"/>
        </w:rPr>
        <w:t xml:space="preserve"> The paper uses a case study where the </w:t>
      </w:r>
      <w:r w:rsidDel="00000000" w:rsidR="00000000" w:rsidRPr="00000000">
        <w:rPr>
          <w:rFonts w:ascii="Google Sans" w:cs="Google Sans" w:eastAsia="Google Sans" w:hAnsi="Google Sans"/>
          <w:i w:val="1"/>
          <w:iCs w:val="1"/>
          <w:color w:val="1f1f1f"/>
          <w:rtl w:val="0"/>
        </w:rPr>
        <w:t xml:space="preserve">manuscript</w:t>
      </w:r>
      <w:r w:rsidDel="00000000" w:rsidR="00000000" w:rsidRPr="00000000">
        <w:rPr>
          <w:rFonts w:ascii="Google Sans" w:cs="Google Sans" w:eastAsia="Google Sans" w:hAnsi="Google Sans"/>
          <w:color w:val="1f1f1f"/>
          <w:rtl w:val="0"/>
        </w:rPr>
        <w:t xml:space="preserve"> mistakenly claimed a novel parser to prove that the </w:t>
      </w:r>
      <w:r w:rsidDel="00000000" w:rsidR="00000000" w:rsidRPr="00000000">
        <w:rPr>
          <w:rFonts w:ascii="Google Sans" w:cs="Google Sans" w:eastAsia="Google Sans" w:hAnsi="Google Sans"/>
          <w:i w:val="1"/>
          <w:iCs w:val="1"/>
          <w:color w:val="1f1f1f"/>
          <w:rtl w:val="0"/>
        </w:rPr>
        <w:t xml:space="preserve">method</w:t>
      </w:r>
      <w:r w:rsidDel="00000000" w:rsidR="00000000" w:rsidRPr="00000000">
        <w:rPr>
          <w:rFonts w:ascii="Google Sans" w:cs="Google Sans" w:eastAsia="Google Sans" w:hAnsi="Google Sans"/>
          <w:color w:val="1f1f1f"/>
          <w:rtl w:val="0"/>
        </w:rPr>
        <w:t xml:space="preserve"> catches errors in a "completed analysis". Catching an unsupported prose claim in a draft is a text-matching and prompt-compliance behavior; it does not logically prove that the pipeline is effective at detecting deep, latent methodological or statistical errors inside a complex empirical dataset where the text matches the math but the math itself is fundamentally mis-specified.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Factual Errors</w:t>
      </w:r>
    </w:p>
    <w:p w:rsidR="00000000" w:rsidDel="00000000" w:rsidP="00000000" w:rsidRDefault="00000000" w:rsidRPr="00000000" w14:paraId="0000000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False Central Novelty Claim (Self-Documented):</w:t>
      </w:r>
      <w:r w:rsidDel="00000000" w:rsidR="00000000" w:rsidRPr="00000000">
        <w:rPr>
          <w:rFonts w:ascii="Google Sans" w:cs="Google Sans" w:eastAsia="Google Sans" w:hAnsi="Google Sans"/>
          <w:color w:val="1f1f1f"/>
          <w:rtl w:val="0"/>
        </w:rPr>
        <w:t xml:space="preserve"> The primary central claim of the original manuscript—the creation of a novel R parser for RevMan 5 files—is entirely false. As noted, this functionality has been natively available via </w:t>
      </w:r>
      <w:r w:rsidDel="00000000" w:rsidR="00000000" w:rsidRPr="00000000">
        <w:rPr>
          <w:rFonts w:ascii="Google Sans" w:cs="Google Sans" w:eastAsia="Google Sans" w:hAnsi="Google Sans"/>
          <w:i w:val="0"/>
          <w:iCs w:val="0"/>
          <w:color w:val="000000"/>
          <w:sz w:val="22"/>
          <w:szCs w:val="22"/>
          <w:rtl w:val="0"/>
        </w:rPr>
        <w:t xml:space="preserve">meta::read.rm5</w:t>
      </w:r>
      <w:r w:rsidDel="00000000" w:rsidR="00000000" w:rsidRPr="00000000">
        <w:rPr>
          <w:rFonts w:ascii="Google Sans" w:cs="Google Sans" w:eastAsia="Google Sans" w:hAnsi="Google Sans"/>
          <w:color w:val="1f1f1f"/>
          <w:rtl w:val="0"/>
        </w:rPr>
        <w:t xml:space="preserve"> since 2009. While the authors reframe the paper around this "catch", the manuscript still fails to cite the broader existing landscape of automated systematic review pipeline tools, such as ASReview or abstract screening frameworks, treating their local multi-model prompting script as a novel structural paradigm without a comprehensive prior-art review of LLM-based asynchronous multi-agent orchestration frameworks.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Methodological Errors</w:t>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Extreme Small-Sample Cluster Over-fitting ($k=3$):</w:t>
      </w:r>
      <w:r w:rsidDel="00000000" w:rsidR="00000000" w:rsidRPr="00000000">
        <w:rPr>
          <w:rFonts w:ascii="Google Sans" w:cs="Google Sans" w:eastAsia="Google Sans" w:hAnsi="Google Sans"/>
          <w:color w:val="1f1f1f"/>
          <w:rtl w:val="0"/>
        </w:rPr>
        <w:t xml:space="preserve"> Running a multi-variate, multi-level random-effects model (</w:t>
      </w:r>
      <w:r w:rsidDel="00000000" w:rsidR="00000000" w:rsidRPr="00000000">
        <w:rPr>
          <w:rFonts w:ascii="Google Sans" w:cs="Google Sans" w:eastAsia="Google Sans" w:hAnsi="Google Sans"/>
          <w:i w:val="0"/>
          <w:iCs w:val="0"/>
          <w:color w:val="000000"/>
          <w:sz w:val="22"/>
          <w:szCs w:val="22"/>
          <w:rtl w:val="0"/>
        </w:rPr>
        <w:t xml:space="preserve">rma.mv</w:t>
      </w:r>
      <w:r w:rsidDel="00000000" w:rsidR="00000000" w:rsidRPr="00000000">
        <w:rPr>
          <w:rFonts w:ascii="Google Sans" w:cs="Google Sans" w:eastAsia="Google Sans" w:hAnsi="Google Sans"/>
          <w:color w:val="1f1f1f"/>
          <w:rtl w:val="0"/>
        </w:rPr>
        <w:t xml:space="preserve">) with study as a clustering factor when there are only 3 distinct clusters (studies) is highly inappropriate. Cluster-robust variance estimation (CR2/clubSandwich) and Satterthwaite degrees of freedom perform poorly and face massive instability when $k &lt; 5$, let alone $k = 3$. The resulting degrees of freedom ($\approx 1.9$) demonstrate that the model is operating right at its mathematical floor.</w:t>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Inconsistent Model Specification Between Continuous and Dichotomous Outcomes:</w:t>
      </w:r>
      <w:r w:rsidDel="00000000" w:rsidR="00000000" w:rsidRPr="00000000">
        <w:rPr>
          <w:rFonts w:ascii="Google Sans" w:cs="Google Sans" w:eastAsia="Google Sans" w:hAnsi="Google Sans"/>
          <w:color w:val="1f1f1f"/>
          <w:rtl w:val="0"/>
        </w:rPr>
        <w:t xml:space="preserve"> In Table 2, the outcomes "Response (50% HAM-A decrease)" and "Response (author defined)" list $k=6$ comparison arms , and "Dropouts" lists $k=7$ arms. Splitting multi-arm trials into separate pairwise comparison rows to feed into an overall meta-analysis without adjusting the underlying weight matrix, or using a standard random-effects model alongside rma.mv interchangeably without ensuring identical multi-level nesting structure across all variables, introduces unit-of-analysis distortions.</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Unadjusted Multiple Pairwise Arm Comparisons:</w:t>
      </w:r>
      <w:r w:rsidDel="00000000" w:rsidR="00000000" w:rsidRPr="00000000">
        <w:rPr>
          <w:rFonts w:ascii="Google Sans" w:cs="Google Sans" w:eastAsia="Google Sans" w:hAnsi="Google Sans"/>
          <w:color w:val="1f1f1f"/>
          <w:rtl w:val="0"/>
        </w:rPr>
        <w:t xml:space="preserve"> When splitting the multi-arm trials (e.g., Rickels 2005 has three distinct pregabalin dose arms sharing a single active alprazolam comparator and a single placebo comparator), treating these as independent rows in a standard meta-analysis structure artificially inflates the sample size and induces a severe unit-of-analysis error unless a fully specified network meta-analysis or multi-variate block-diagonal covariance matrix is defined for the shared control groups.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Mathematical Errors</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Degrees of Freedom and Parameter Counts at $k=3$:</w:t>
      </w:r>
      <w:r w:rsidDel="00000000" w:rsidR="00000000" w:rsidRPr="00000000">
        <w:rPr>
          <w:rFonts w:ascii="Google Sans" w:cs="Google Sans" w:eastAsia="Google Sans" w:hAnsi="Google Sans"/>
          <w:color w:val="1f1f1f"/>
          <w:rtl w:val="0"/>
        </w:rPr>
        <w:t xml:space="preserve"> In Table 2, the row for "CGI (Rickels 2005 only)" lists $k=3$ comparison arms and calculates a $p$-value and an $I^2$ value of 52%. If this row represents a single study, calculating a meta-analytic heterogenity statistic ($I^2$) or a pooled random-effects estimate is mathematically impossible, as there are no between-study variations to compute. If it represents multi-arm within-study comparisons, computing an $I^2$ metric designed for independent studies is a cross-contamination of formulas.</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Impossibility of Recovering Summary Estimates From "Descriptive Only" Data:</w:t>
      </w:r>
      <w:r w:rsidDel="00000000" w:rsidR="00000000" w:rsidRPr="00000000">
        <w:rPr>
          <w:rFonts w:ascii="Google Sans" w:cs="Google Sans" w:eastAsia="Google Sans" w:hAnsi="Google Sans"/>
          <w:color w:val="1f1f1f"/>
          <w:rtl w:val="0"/>
        </w:rPr>
        <w:t xml:space="preserve"> The authors state that for the HAM-A continuous outcome, the true raw standard deviations are "not recoverable from the published tables" due to ANCOVA baseline covariance adjustments. Yet, in Table 2, they present a pooled mean difference estimate ($\text{MD} = 0.56$) for "HAM-A (corrected SDs)". If the raw SDs are genuinely unrecoverable and the outcome is strictly "descriptive only", providing a precise pooled point estimate with confidence intervals in the primary results table is mathematically contradictory.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Overall Recommendation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(Major Revision)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One-Line Rationale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concept of local open-weight adversarial review panels is highly practical, the statistical substrate used to demonstrate it ($k=3$) breaks the fundamental mathematical assumptions of the multi-level cluster-robust meta-analyses executed.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Most Serious Problem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most serious problem is the </w:t>
      </w:r>
      <w:r w:rsidDel="00000000" w:rsidR="00000000" w:rsidRPr="00000000">
        <w:rPr>
          <w:rFonts w:ascii="Google Sans" w:cs="Google Sans" w:eastAsia="Google Sans" w:hAnsi="Google Sans"/>
          <w:b w:val="1"/>
          <w:bCs w:val="1"/>
          <w:color w:val="1f1f1f"/>
          <w:rtl w:val="0"/>
        </w:rPr>
        <w:t xml:space="preserve">methodological mis-specification of running a multi-level cluster-robust random-effects model (</w:t>
      </w:r>
      <w:r w:rsidDel="00000000" w:rsidR="00000000" w:rsidRPr="00000000">
        <w:rPr>
          <w:rFonts w:ascii="Google Sans" w:cs="Google Sans" w:eastAsia="Google Sans" w:hAnsi="Google Sans"/>
          <w:i w:val="0"/>
          <w:iCs w:val="0"/>
          <w:color w:val="000000"/>
          <w:sz w:val="22"/>
          <w:szCs w:val="22"/>
          <w:rtl w:val="0"/>
        </w:rPr>
        <w:t xml:space="preserve">rma.mv</w:t>
      </w:r>
      <w:r w:rsidDel="00000000" w:rsidR="00000000" w:rsidRPr="00000000">
        <w:rPr>
          <w:rFonts w:ascii="Google Sans" w:cs="Google Sans" w:eastAsia="Google Sans" w:hAnsi="Google Sans"/>
          <w:b w:val="1"/>
          <w:bCs w:val="1"/>
          <w:color w:val="1f1f1f"/>
          <w:rtl w:val="0"/>
        </w:rPr>
        <w:t xml:space="preserve">) on a tiny dataset of only three studies ($k=3$)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Would I have caught it if I shared the authors' assumptions?</w:t>
      </w:r>
      <w:r w:rsidDel="00000000" w:rsidR="00000000" w:rsidRPr="00000000">
        <w:rPr>
          <w:rFonts w:ascii="Google Sans" w:cs="Google Sans" w:eastAsia="Google Sans" w:hAnsi="Google Sans"/>
          <w:color w:val="1f1f1f"/>
          <w:rtl w:val="0"/>
        </w:rPr>
        <w:t xml:space="preserve"> No. If I shared the authors' assumptions—namely, that advanced small-sample corrections like </w:t>
      </w:r>
      <w:r w:rsidDel="00000000" w:rsidR="00000000" w:rsidRPr="00000000">
        <w:rPr>
          <w:rFonts w:ascii="Google Sans" w:cs="Google Sans" w:eastAsia="Google Sans" w:hAnsi="Google Sans"/>
          <w:i w:val="0"/>
          <w:iCs w:val="0"/>
          <w:color w:val="000000"/>
          <w:sz w:val="22"/>
          <w:szCs w:val="22"/>
          <w:rtl w:val="0"/>
        </w:rPr>
        <w:t xml:space="preserve">clubSandwich</w:t>
      </w:r>
      <w:r w:rsidDel="00000000" w:rsidR="00000000" w:rsidRPr="00000000">
        <w:rPr>
          <w:rFonts w:ascii="Google Sans" w:cs="Google Sans" w:eastAsia="Google Sans" w:hAnsi="Google Sans"/>
          <w:color w:val="1f1f1f"/>
          <w:rtl w:val="0"/>
        </w:rPr>
        <w:t xml:space="preserve"> (CR2) can fully compensate for a lack of structural data —I would have accepted the runtime outputs at face value. It requires an adversarial perspective outside of software-automation assumptions to recognize that no statistical patch can magically extract valid asymptotic cluster-robust inferences from 2 degrees of freedom.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z w:val="34"/>
          <w:szCs w:val="34"/>
        </w:rPr>
      </w:pPr>
      <w:r w:rsidDel="00000000" w:rsidR="00000000" w:rsidRPr="00000000">
        <w:rPr>
          <w:rFonts w:ascii="Google Sans" w:cs="Google Sans" w:eastAsia="Google Sans" w:hAnsi="Google Sans"/>
          <w:color w:val="1f1f1f"/>
          <w:rtl w:val="0"/>
        </w:rPr>
        <w:t xml:space="preserve">Revised paper. </w:t>
      </w:r>
      <w:r w:rsidDel="00000000" w:rsidR="00000000" w:rsidRPr="00000000">
        <w:rPr>
          <w:rFonts w:ascii="Google Sans" w:cs="Google Sans" w:eastAsia="Google Sans" w:hAnsi="Google Sans"/>
          <w:b w:val="1"/>
          <w:bCs w:val="1"/>
          <w:color w:val="1f1f1f"/>
          <w:sz w:val="34"/>
          <w:szCs w:val="34"/>
          <w:rtl w:val="0"/>
        </w:rPr>
        <w:t xml:space="preserve">1. LOGICAL ERRORS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Circular Defense of Divergent Priors:</w:t>
      </w:r>
      <w:r w:rsidDel="00000000" w:rsidR="00000000" w:rsidRPr="00000000">
        <w:rPr>
          <w:color w:val="1f1f1f"/>
          <w:rtl w:val="0"/>
        </w:rPr>
        <w:t xml:space="preserve"> The authors attempt to rebut a cold-read model’s objection regarding consensus by arguing that panel convergence "raises confidence" while divergence "widens coverage". However, when the panel converges on the $k=3$ statistical issues, this convergence is heavily driven by basic pattern-matching to standard statistical thresholds rather than structural independence. Using a panel's convergence as a validation metric while simultaneously arguing that its main strength lies in its </w:t>
      </w:r>
      <w:r w:rsidDel="00000000" w:rsidR="00000000" w:rsidRPr="00000000">
        <w:rPr>
          <w:i w:val="1"/>
          <w:iCs w:val="1"/>
          <w:color w:val="1f1f1f"/>
          <w:rtl w:val="0"/>
        </w:rPr>
        <w:t xml:space="preserve">uncorrelated</w:t>
      </w:r>
      <w:r w:rsidDel="00000000" w:rsidR="00000000" w:rsidRPr="00000000">
        <w:rPr>
          <w:color w:val="1f1f1f"/>
          <w:rtl w:val="0"/>
        </w:rPr>
        <w:t xml:space="preserve"> errors constitutes circular reasoning.</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Methodological Equivalence Fallacy:</w:t>
      </w:r>
      <w:r w:rsidDel="00000000" w:rsidR="00000000" w:rsidRPr="00000000">
        <w:rPr>
          <w:color w:val="1f1f1f"/>
          <w:rtl w:val="0"/>
        </w:rPr>
        <w:t xml:space="preserve"> The authors argue that catching prose-level novelty claims and identifying deep mathematical/analytical errors are simply different expressions of the same overarching error-detection property. This is an invalid inference. Identifying an unsupported prose statement relies on text-matching and prompt-compliance behaviors, whereas detecting deep methodological flaws in statistical modeling requires structural analysis. Success in the former does not logically validate the method's competence in the latter.</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1B">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lph97e703idk" w:id="0"/>
      <w:bookmarkEnd w:id="0"/>
      <w:r w:rsidDel="00000000" w:rsidR="00000000" w:rsidRPr="00000000">
        <w:rPr>
          <w:rFonts w:ascii="Google Sans" w:cs="Google Sans" w:eastAsia="Google Sans" w:hAnsi="Google Sans"/>
          <w:color w:val="1f1f1f"/>
          <w:sz w:val="34"/>
          <w:szCs w:val="34"/>
          <w:rtl w:val="0"/>
        </w:rPr>
        <w:t xml:space="preserve">2. FACTUAL ERRORS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Vague/Missing Citations for Primary Prior Art:</w:t>
      </w:r>
      <w:r w:rsidDel="00000000" w:rsidR="00000000" w:rsidRPr="00000000">
        <w:rPr>
          <w:color w:val="1f1f1f"/>
          <w:rtl w:val="0"/>
        </w:rPr>
        <w:t xml:space="preserve"> In the section titled "Relation to existing tools and practice," the text explicitly states: "(Two adjacent works, a multi-LLM annotation-error preprint and an LLM-panel manuscript-review framework, are to be located and cited precisely before submission; their existence is noted so the prior-art claim is not overstated)". Leaving literal placeholders for the primary competing frameworks being evaluated is unacceptable for a methodology submission claiming to assess unique contributions.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i2rdhyjipfnx" w:id="1"/>
      <w:bookmarkEnd w:id="1"/>
      <w:r w:rsidDel="00000000" w:rsidR="00000000" w:rsidRPr="00000000">
        <w:rPr>
          <w:rFonts w:ascii="Google Sans" w:cs="Google Sans" w:eastAsia="Google Sans" w:hAnsi="Google Sans"/>
          <w:color w:val="1f1f1f"/>
          <w:sz w:val="34"/>
          <w:szCs w:val="34"/>
          <w:rtl w:val="0"/>
        </w:rPr>
        <w:t xml:space="preserve">3. METHODOLOGICAL ERRORS</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Severe Small-Sample Over-Fitting ($k=3$):</w:t>
      </w:r>
      <w:r w:rsidDel="00000000" w:rsidR="00000000" w:rsidRPr="00000000">
        <w:rPr>
          <w:color w:val="1f1f1f"/>
          <w:rtl w:val="0"/>
        </w:rPr>
        <w:t xml:space="preserve"> Executing a multi-variate, multi-level random-effects model (</w:t>
      </w:r>
      <w:r w:rsidDel="00000000" w:rsidR="00000000" w:rsidRPr="00000000">
        <w:rPr>
          <w:color w:val="188038"/>
          <w:sz w:val="23"/>
          <w:szCs w:val="23"/>
          <w:shd w:fill="f2f0f0" w:val="clear"/>
          <w:rtl w:val="0"/>
        </w:rPr>
        <w:t xml:space="preserve">rma.mv</w:t>
      </w:r>
      <w:r w:rsidDel="00000000" w:rsidR="00000000" w:rsidRPr="00000000">
        <w:rPr>
          <w:color w:val="1f1f1f"/>
          <w:rtl w:val="0"/>
        </w:rPr>
        <w:t xml:space="preserve">) with study-level clustering on a dataset featuring only 3 distinct clusters is a severe methodological violation. Cluster-robust variance estimation techniques (like </w:t>
      </w:r>
      <w:r w:rsidDel="00000000" w:rsidR="00000000" w:rsidRPr="00000000">
        <w:rPr>
          <w:color w:val="188038"/>
          <w:sz w:val="23"/>
          <w:szCs w:val="23"/>
          <w:shd w:fill="f2f0f0" w:val="clear"/>
          <w:rtl w:val="0"/>
        </w:rPr>
        <w:t xml:space="preserve">clubSandwich</w:t>
      </w:r>
      <w:r w:rsidDel="00000000" w:rsidR="00000000" w:rsidRPr="00000000">
        <w:rPr>
          <w:color w:val="1f1f1f"/>
          <w:rtl w:val="0"/>
        </w:rPr>
        <w:t xml:space="preserve"> CR2) alongside Satterthwaite degrees of freedom break down and experience massive instability when $k &lt; 5$. The resulting degrees of freedom ($\text{df} \approx 1.9$) confirm that the statistical model is operating entirely outside its intended asymptotic or small-sample bounds.</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Artificial Variance Suppression via Shared Control Groups:</w:t>
      </w:r>
      <w:r w:rsidDel="00000000" w:rsidR="00000000" w:rsidRPr="00000000">
        <w:rPr>
          <w:color w:val="1f1f1f"/>
          <w:rtl w:val="0"/>
        </w:rPr>
        <w:t xml:space="preserve"> In Table 2, the outcomes "Response (50% HAM-A decrease)" and "Response (author defined)" list $k=6$ comparison arms, while "Dropouts" lists $k=7$ comparison arms. Splitting multi-arm trials (e.g., Rickels 2005 contains three distinct pregabalin dose arms sharing a single active benzodiazepine comparator and a single placebo comparator) into separate independent pairwise rows in a meta-analysis artificially inflates the sample size and violates the unit-of-analysis principle. A block-diagonal covariance matrix or a true network meta-analysis structure must be explicitly defined to account for the correlated variances of shared control groups.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j4yus7ks8xvv" w:id="2"/>
      <w:bookmarkEnd w:id="2"/>
      <w:r w:rsidDel="00000000" w:rsidR="00000000" w:rsidRPr="00000000">
        <w:rPr>
          <w:rFonts w:ascii="Google Sans" w:cs="Google Sans" w:eastAsia="Google Sans" w:hAnsi="Google Sans"/>
          <w:color w:val="1f1f1f"/>
          <w:sz w:val="34"/>
          <w:szCs w:val="34"/>
          <w:rtl w:val="0"/>
        </w:rPr>
        <w:t xml:space="preserve">4. MATHEMATICAL ERRORS</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Retention of Contradictory Point Estimates:</w:t>
      </w:r>
      <w:r w:rsidDel="00000000" w:rsidR="00000000" w:rsidRPr="00000000">
        <w:rPr>
          <w:color w:val="1f1f1f"/>
          <w:rtl w:val="0"/>
        </w:rPr>
        <w:t xml:space="preserve"> In Table 2, the rows for "HAM-A (corrected SDs)" ($\text{MD} = 0.56$) and "HAM-A (uncorrected SDs)" ($\text{MD} = 0.64$) provide precise pooled point estimates and confidence intervals. However, the authors explicitly state in the text that the true raw standard deviations are "not recoverable from the published tables". Reporting a precise, down-to-the-hundredth pooled effect size and calculating an exact confidence interval from variance parameters that are acknowledged to be structurally unrecoverable is mathematically contradictory.</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6">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r0uwsp9jnq12" w:id="3"/>
      <w:bookmarkEnd w:id="3"/>
      <w:r w:rsidDel="00000000" w:rsidR="00000000" w:rsidRPr="00000000">
        <w:rPr>
          <w:rFonts w:ascii="Google Sans" w:cs="Google Sans" w:eastAsia="Google Sans" w:hAnsi="Google Sans"/>
          <w:color w:val="1f1f1f"/>
          <w:sz w:val="34"/>
          <w:szCs w:val="34"/>
          <w:rtl w:val="0"/>
        </w:rPr>
        <w:t xml:space="preserve">OVERALL RECOMMENDATION (0-5):</w:t>
      </w:r>
    </w:p>
    <w:p w:rsidR="00000000" w:rsidDel="00000000" w:rsidP="00000000" w:rsidRDefault="00000000" w:rsidRPr="00000000" w14:paraId="00000027">
      <w:pPr>
        <w:spacing w:line="276" w:lineRule="auto"/>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(Major Revision)</w:t>
      </w:r>
    </w:p>
    <w:p w:rsidR="00000000" w:rsidDel="00000000" w:rsidP="00000000" w:rsidRDefault="00000000" w:rsidRPr="00000000" w14:paraId="00000028">
      <w:pPr>
        <w:spacing w:line="276" w:lineRule="auto"/>
        <w:rPr>
          <w:color w:val="1f1f1f"/>
        </w:rPr>
      </w:pPr>
      <w:r w:rsidDel="00000000" w:rsidR="00000000" w:rsidRPr="00000000">
        <w:rPr>
          <w:rtl w:val="0"/>
        </w:rPr>
      </w:r>
    </w:p>
    <w:p w:rsidR="00000000" w:rsidDel="00000000" w:rsidP="00000000" w:rsidRDefault="00000000" w:rsidRPr="00000000" w14:paraId="00000029">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ga505x5krhkz" w:id="4"/>
      <w:bookmarkEnd w:id="4"/>
      <w:r w:rsidDel="00000000" w:rsidR="00000000" w:rsidRPr="00000000">
        <w:rPr>
          <w:rFonts w:ascii="Google Sans" w:cs="Google Sans" w:eastAsia="Google Sans" w:hAnsi="Google Sans"/>
          <w:color w:val="1f1f1f"/>
          <w:sz w:val="34"/>
          <w:szCs w:val="34"/>
          <w:rtl w:val="0"/>
        </w:rPr>
        <w:t xml:space="preserve">ONE-LINE RATIONALE.</w:t>
      </w:r>
    </w:p>
    <w:p w:rsidR="00000000" w:rsidDel="00000000" w:rsidP="00000000" w:rsidRDefault="00000000" w:rsidRPr="00000000" w14:paraId="0000002A">
      <w:pPr>
        <w:spacing w:line="276" w:lineRule="auto"/>
        <w:rPr>
          <w:color w:val="1f1f1f"/>
        </w:rPr>
      </w:pPr>
      <w:r w:rsidDel="00000000" w:rsidR="00000000" w:rsidRPr="00000000">
        <w:rPr>
          <w:color w:val="1f1f1f"/>
          <w:rtl w:val="0"/>
        </w:rPr>
        <w:t xml:space="preserve">While the manuscript's self-referential framework is intellectually engaging, the underlying statistical substrate ($k=3$) fundamentally breaks the mathematical assumptions of the multi-level cluster-robust meta-analyses being executed.</w:t>
      </w:r>
    </w:p>
    <w:p w:rsidR="00000000" w:rsidDel="00000000" w:rsidP="00000000" w:rsidRDefault="00000000" w:rsidRPr="00000000" w14:paraId="0000002B">
      <w:pPr>
        <w:spacing w:line="276" w:lineRule="auto"/>
        <w:rPr>
          <w:color w:val="1f1f1f"/>
        </w:rPr>
      </w:pPr>
      <w:r w:rsidDel="00000000" w:rsidR="00000000" w:rsidRPr="00000000">
        <w:rPr>
          <w:rtl w:val="0"/>
        </w:rPr>
      </w:r>
    </w:p>
    <w:p w:rsidR="00000000" w:rsidDel="00000000" w:rsidP="00000000" w:rsidRDefault="00000000" w:rsidRPr="00000000" w14:paraId="0000002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fucwnn16ghgm" w:id="5"/>
      <w:bookmarkEnd w:id="5"/>
      <w:r w:rsidDel="00000000" w:rsidR="00000000" w:rsidRPr="00000000">
        <w:rPr>
          <w:rFonts w:ascii="Google Sans" w:cs="Google Sans" w:eastAsia="Google Sans" w:hAnsi="Google Sans"/>
          <w:color w:val="1f1f1f"/>
          <w:sz w:val="26"/>
          <w:szCs w:val="26"/>
          <w:rtl w:val="0"/>
        </w:rPr>
        <w:t xml:space="preserve">The Single Most Serious Problem</w:t>
      </w:r>
    </w:p>
    <w:p w:rsidR="00000000" w:rsidDel="00000000" w:rsidP="00000000" w:rsidRDefault="00000000" w:rsidRPr="00000000" w14:paraId="0000002D">
      <w:pPr>
        <w:spacing w:line="276" w:lineRule="auto"/>
        <w:rPr>
          <w:color w:val="1f1f1f"/>
        </w:rPr>
      </w:pPr>
      <w:r w:rsidDel="00000000" w:rsidR="00000000" w:rsidRPr="00000000">
        <w:rPr>
          <w:color w:val="1f1f1f"/>
          <w:rtl w:val="0"/>
        </w:rPr>
        <w:t xml:space="preserve">The single most serious problem is the </w:t>
      </w:r>
      <w:r w:rsidDel="00000000" w:rsidR="00000000" w:rsidRPr="00000000">
        <w:rPr>
          <w:b w:val="1"/>
          <w:bCs w:val="1"/>
          <w:color w:val="1f1f1f"/>
          <w:rtl w:val="0"/>
        </w:rPr>
        <w:t xml:space="preserve">methodological mis-specification of applying a multi-variate, cluster-robust random-effects model (</w:t>
      </w:r>
      <w:r w:rsidDel="00000000" w:rsidR="00000000" w:rsidRPr="00000000">
        <w:rPr>
          <w:color w:val="188038"/>
          <w:sz w:val="23"/>
          <w:szCs w:val="23"/>
          <w:shd w:fill="f2f0f0" w:val="clear"/>
          <w:rtl w:val="0"/>
        </w:rPr>
        <w:t xml:space="preserve">rma.mv</w:t>
      </w:r>
      <w:r w:rsidDel="00000000" w:rsidR="00000000" w:rsidRPr="00000000">
        <w:rPr>
          <w:b w:val="1"/>
          <w:bCs w:val="1"/>
          <w:color w:val="1f1f1f"/>
          <w:rtl w:val="0"/>
        </w:rPr>
        <w:t xml:space="preserve">) to a dataset containing only three primary studies ($k=3$)</w:t>
      </w:r>
      <w:r w:rsidDel="00000000" w:rsidR="00000000" w:rsidRPr="00000000">
        <w:rPr>
          <w:color w:val="1f1f1f"/>
          <w:rtl w:val="0"/>
        </w:rPr>
        <w:t xml:space="preserve">.</w:t>
      </w:r>
    </w:p>
    <w:p w:rsidR="00000000" w:rsidDel="00000000" w:rsidP="00000000" w:rsidRDefault="00000000" w:rsidRPr="00000000" w14:paraId="0000002E">
      <w:pPr>
        <w:spacing w:line="276" w:lineRule="auto"/>
        <w:rPr>
          <w:color w:val="1f1f1f"/>
        </w:rPr>
      </w:pPr>
      <w:r w:rsidDel="00000000" w:rsidR="00000000" w:rsidRPr="00000000">
        <w:rPr>
          <w:rtl w:val="0"/>
        </w:rPr>
      </w:r>
    </w:p>
    <w:p w:rsidR="00000000" w:rsidDel="00000000" w:rsidP="00000000" w:rsidRDefault="00000000" w:rsidRPr="00000000" w14:paraId="0000002F">
      <w:pPr>
        <w:spacing w:line="276" w:lineRule="auto"/>
        <w:rPr>
          <w:color w:val="1f1f1f"/>
        </w:rPr>
      </w:pPr>
      <w:r w:rsidDel="00000000" w:rsidR="00000000" w:rsidRPr="00000000">
        <w:rPr>
          <w:b w:val="1"/>
          <w:bCs w:val="1"/>
          <w:color w:val="1f1f1f"/>
          <w:rtl w:val="0"/>
        </w:rPr>
        <w:t xml:space="preserve">Would I have caught it if I shared the authors' assumptions?</w:t>
      </w:r>
      <w:r w:rsidDel="00000000" w:rsidR="00000000" w:rsidRPr="00000000">
        <w:rPr>
          <w:color w:val="1f1f1f"/>
          <w:rtl w:val="0"/>
        </w:rPr>
        <w:t xml:space="preserve"> No. If I shared the authors' assumptions—that advanced small-sample adjustments like </w:t>
      </w:r>
      <w:r w:rsidDel="00000000" w:rsidR="00000000" w:rsidRPr="00000000">
        <w:rPr>
          <w:color w:val="188038"/>
          <w:sz w:val="23"/>
          <w:szCs w:val="23"/>
          <w:shd w:fill="f2f0f0" w:val="clear"/>
          <w:rtl w:val="0"/>
        </w:rPr>
        <w:t xml:space="preserve">clubSandwich</w:t>
      </w:r>
      <w:r w:rsidDel="00000000" w:rsidR="00000000" w:rsidRPr="00000000">
        <w:rPr>
          <w:color w:val="1f1f1f"/>
          <w:rtl w:val="0"/>
        </w:rPr>
        <w:t xml:space="preserve"> CR2 with Satterthwaite adjustments can entirely substitute for an adequate sample size—I would have accepted the runtime output at face value. It requires an adversarial perspective outside of software-automation assumptions to recognize that no statistical adjustment can extract valid, stable cluster-robust inferences from fewer than 2 degrees of freedom.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