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left"/>
      </w:pPr>
      <w:r>
        <w:rPr>
          <w:rFonts w:ascii="Times New Roman" w:cs="Times New Roman" w:eastAsia="Times New Roman" w:hAnsi="Times New Roman"/>
          <w:b w:val="false"/>
          <w:bCs w:val="false"/>
          <w:i/>
          <w:iCs/>
          <w:sz w:val="20"/>
          <w:szCs w:val="20"/>
        </w:rPr>
        <w:t xml:space="preserve">Research in Brief</w:t>
      </w:r>
    </w:p>
    <w:p>
      <w:pPr>
        <w:spacing w:after="200" w:before="120" w:line="360"/>
      </w:pPr>
      <w:r>
        <w:rPr>
          <w:rFonts w:ascii="Times New Roman" w:cs="Times New Roman" w:eastAsia="Times New Roman" w:hAnsi="Times New Roman"/>
          <w:b/>
          <w:bCs/>
          <w:sz w:val="28"/>
          <w:szCs w:val="28"/>
        </w:rPr>
        <w:t xml:space="preserve">Automated post-hoc testing of archived systematic review data: three propagating extraction errors in a Cochrane project file</w:t>
      </w:r>
    </w:p>
    <w:p>
      <w:pPr>
        <w:spacing w:after="80" w:line="360"/>
        <w:jc w:val="left"/>
      </w:pPr>
      <w:r>
        <w:rPr>
          <w:rFonts w:ascii="Times New Roman" w:cs="Times New Roman" w:eastAsia="Times New Roman" w:hAnsi="Times New Roman"/>
          <w:b w:val="false"/>
          <w:bCs w:val="false"/>
          <w:i w:val="false"/>
          <w:iCs w:val="false"/>
          <w:sz w:val="22"/>
          <w:szCs w:val="22"/>
        </w:rPr>
        <w:t xml:space="preserve">Christopher K Gale¹, Paul Glue², Giuseppe Guaiana³</w:t>
      </w:r>
    </w:p>
    <w:p>
      <w:pPr>
        <w:spacing w:after="0" w:line="300"/>
        <w:jc w:val="left"/>
      </w:pPr>
      <w:r>
        <w:rPr>
          <w:rFonts w:ascii="Times New Roman" w:cs="Times New Roman" w:eastAsia="Times New Roman" w:hAnsi="Times New Roman"/>
          <w:b w:val="false"/>
          <w:bCs w:val="false"/>
          <w:i/>
          <w:iCs/>
          <w:sz w:val="20"/>
          <w:szCs w:val="20"/>
        </w:rPr>
        <w:t xml:space="preserve">1. Dr Christopher Gale Ltd, P.O. Box 325, Warkworth, New Zealand</w:t>
      </w:r>
    </w:p>
    <w:p>
      <w:pPr>
        <w:spacing w:after="0" w:line="300"/>
        <w:jc w:val="left"/>
      </w:pPr>
      <w:r>
        <w:rPr>
          <w:rFonts w:ascii="Times New Roman" w:cs="Times New Roman" w:eastAsia="Times New Roman" w:hAnsi="Times New Roman"/>
          <w:b w:val="false"/>
          <w:bCs w:val="false"/>
          <w:i/>
          <w:iCs/>
          <w:sz w:val="20"/>
          <w:szCs w:val="20"/>
        </w:rPr>
        <w:t xml:space="preserve">2. Department of Psychological Medicine, University of Otago, Dunedin, New Zealand</w:t>
      </w:r>
    </w:p>
    <w:p>
      <w:pPr>
        <w:spacing w:after="140" w:line="300"/>
        <w:jc w:val="left"/>
      </w:pPr>
      <w:r>
        <w:rPr>
          <w:rFonts w:ascii="Times New Roman" w:cs="Times New Roman" w:eastAsia="Times New Roman" w:hAnsi="Times New Roman"/>
          <w:b w:val="false"/>
          <w:bCs w:val="false"/>
          <w:i/>
          <w:iCs/>
          <w:sz w:val="20"/>
          <w:szCs w:val="20"/>
        </w:rPr>
        <w:t xml:space="preserve">3. Saint Thomas Elgin General Hospital, University of Western Ontario, Ontario, Canada</w:t>
      </w:r>
    </w:p>
    <w:p>
      <w:pPr>
        <w:spacing w:after="160" w:line="360"/>
        <w:jc w:val="left"/>
      </w:pPr>
      <w:r>
        <w:rPr>
          <w:rFonts w:ascii="Times New Roman" w:cs="Times New Roman" w:eastAsia="Times New Roman" w:hAnsi="Times New Roman"/>
          <w:b w:val="false"/>
          <w:bCs w:val="false"/>
          <w:i w:val="false"/>
          <w:iCs w:val="false"/>
          <w:sz w:val="20"/>
          <w:szCs w:val="20"/>
        </w:rPr>
        <w:t xml:space="preserve">Correspondence: drchristophergale@protonmail.com | ORCID 0000-0001-8032-765X</w:t>
      </w:r>
    </w:p>
    <w:p>
      <w:pPr>
        <w:spacing w:after="140" w:before="280" w:line="360"/>
      </w:pPr>
      <w:r>
        <w:rPr>
          <w:rFonts w:ascii="Times New Roman" w:cs="Times New Roman" w:eastAsia="Times New Roman" w:hAnsi="Times New Roman"/>
          <w:b/>
          <w:bCs/>
          <w:sz w:val="24"/>
          <w:szCs w:val="24"/>
        </w:rPr>
        <w:t xml:space="preserve">Abstract</w:t>
      </w:r>
    </w:p>
    <w:p>
      <w:pPr>
        <w:spacing w:after="160" w:line="360"/>
        <w:jc w:val="both"/>
      </w:pPr>
      <w:r>
        <w:rPr>
          <w:rFonts w:ascii="Times New Roman" w:cs="Times New Roman" w:eastAsia="Times New Roman" w:hAnsi="Times New Roman"/>
          <w:b w:val="false"/>
          <w:bCs w:val="false"/>
          <w:i w:val="false"/>
          <w:iCs w:val="false"/>
          <w:sz w:val="22"/>
          <w:szCs w:val="22"/>
        </w:rPr>
        <w:t xml:space="preserve">Importing systematic review data from review software into an analysis environment is a solved problem, and import fidelity is routinely verified against the totals the software itself stores. That check certifies transfer, not truth: faithful import reproduces stored values exactly, including the incorrect ones, and no step in the pipeline compares a stored value against the publication it was taken from. Archived review data are increasingly re-used, and a large stock of extracted but unpublished data exists in withdrawn protocols whose extraction has never been audited. We describe an automated post-hoc test for such data, applied where no reference standard is available. Five large language models of deliberately divergent training provenance, three of them open-weight, were given a completed archived analysis and instructed to find errors rather than to appraise. Because no ground truth existed, disagreement was not a measurement of the models; it was the test output. Each flag is a claim that a stored or derived value cannot be accepted as it stands, and each flagged value was then verified by a human against the source publication. Applied to the benzodiazepine-versus-pregabalin comparison of an abandoned review of generalised anxiety disorder, a dispersion value suspected during extraction, and carried with a provisional correction that two models flagged as unverified, led to source verification that confirmed a standard error stored as a standard deviation, showed the provisional correction to be invalid, and revealed two further errors, in trial duration and dose labelling, that no model identified. All three reproduce exactly under faithful import and are invisible to internal validation. We report a detection event, not a detection rate.</w:t>
      </w:r>
    </w:p>
    <w:p>
      <w:pPr>
        <w:spacing w:after="160" w:line="360"/>
        <w:jc w:val="left"/>
      </w:pPr>
      <w:r>
        <w:rPr>
          <w:rFonts w:ascii="Times New Roman" w:cs="Times New Roman" w:eastAsia="Times New Roman" w:hAnsi="Times New Roman"/>
          <w:b w:val="false"/>
          <w:bCs w:val="false"/>
          <w:i w:val="false"/>
          <w:iCs w:val="false"/>
          <w:sz w:val="20"/>
          <w:szCs w:val="20"/>
        </w:rPr>
        <w:t xml:space="preserve">Keywords: evidence synthesis; data extraction; error detection; large language models; research integrity; secondary analysis</w:t>
      </w:r>
    </w:p>
    <w:p>
      <w:pPr>
        <w:spacing w:after="140" w:before="280" w:line="360"/>
      </w:pPr>
      <w:r>
        <w:rPr>
          <w:rFonts w:ascii="Times New Roman" w:cs="Times New Roman" w:eastAsia="Times New Roman" w:hAnsi="Times New Roman"/>
          <w:b/>
          <w:bCs/>
          <w:sz w:val="24"/>
          <w:szCs w:val="24"/>
        </w:rPr>
        <w:t xml:space="preserve">Highlights</w:t>
      </w:r>
    </w:p>
    <w:p>
      <w:pPr>
        <w:spacing w:after="160" w:line="360"/>
        <w:jc w:val="both"/>
      </w:pPr>
      <w:r>
        <w:rPr>
          <w:rFonts w:ascii="Times New Roman" w:cs="Times New Roman" w:eastAsia="Times New Roman" w:hAnsi="Times New Roman"/>
          <w:b/>
          <w:bCs/>
          <w:i w:val="false"/>
          <w:iCs w:val="false"/>
          <w:sz w:val="22"/>
          <w:szCs w:val="22"/>
        </w:rPr>
        <w:t xml:space="preserve">What is already known. </w:t>
      </w:r>
      <w:r>
        <w:rPr>
          <w:rFonts w:ascii="Times New Roman" w:cs="Times New Roman" w:eastAsia="Times New Roman" w:hAnsi="Times New Roman"/>
          <w:b w:val="false"/>
          <w:bCs w:val="false"/>
          <w:i w:val="false"/>
          <w:iCs w:val="false"/>
          <w:sz w:val="22"/>
          <w:szCs w:val="22"/>
        </w:rPr>
        <w:t xml:space="preserve">Native import of review-software project files into analysis environments has been available for fifteen years, and import completeness can be validated against the summary totals stored alongside the data. Research on large language models in evidence synthesis has run models inside the review workflow and evaluated their accuracy against a human reference standard. Disagreement between multiple models has been used inside the workflow to prioritise which human annotations are re-checked. Separately, automated consistency checkers are run post hoc against the published literature to detect internally inconsistent reported statistics.</w:t>
      </w:r>
    </w:p>
    <w:p>
      <w:pPr>
        <w:spacing w:after="160" w:line="360"/>
        <w:jc w:val="both"/>
      </w:pPr>
      <w:r>
        <w:rPr>
          <w:rFonts w:ascii="Times New Roman" w:cs="Times New Roman" w:eastAsia="Times New Roman" w:hAnsi="Times New Roman"/>
          <w:b/>
          <w:bCs/>
          <w:i w:val="false"/>
          <w:iCs w:val="false"/>
          <w:sz w:val="22"/>
          <w:szCs w:val="22"/>
        </w:rPr>
        <w:t xml:space="preserve">What is new. </w:t>
      </w:r>
      <w:r>
        <w:rPr>
          <w:rFonts w:ascii="Times New Roman" w:cs="Times New Roman" w:eastAsia="Times New Roman" w:hAnsi="Times New Roman"/>
          <w:b w:val="false"/>
          <w:bCs w:val="false"/>
          <w:i w:val="false"/>
          <w:iCs w:val="false"/>
          <w:sz w:val="22"/>
          <w:szCs w:val="22"/>
        </w:rPr>
        <w:t xml:space="preserve">The signal is automated and inverted into a test: run after the fact against a completed and archived analysis rather than as a step inside the review workflow. No reference standard exists in that setting and none can be reconstructed without repeating the original extraction, so disagreement is not evidence about the models but the test result itself, and a positive result is a claim about the stored data. Applied to one archived project file, the test surfaced three extraction errors that faithful import reproduces exactly and that internal consistency checks cannot detect.</w:t>
      </w:r>
    </w:p>
    <w:p>
      <w:pPr>
        <w:spacing w:after="160" w:line="360"/>
        <w:jc w:val="both"/>
      </w:pPr>
      <w:r>
        <w:rPr>
          <w:rFonts w:ascii="Times New Roman" w:cs="Times New Roman" w:eastAsia="Times New Roman" w:hAnsi="Times New Roman"/>
          <w:b/>
          <w:bCs/>
          <w:i w:val="false"/>
          <w:iCs w:val="false"/>
          <w:sz w:val="22"/>
          <w:szCs w:val="22"/>
        </w:rPr>
        <w:t xml:space="preserve">Potential impact for Research Synthesis Methods readers. </w:t>
      </w:r>
      <w:r>
        <w:rPr>
          <w:rFonts w:ascii="Times New Roman" w:cs="Times New Roman" w:eastAsia="Times New Roman" w:hAnsi="Times New Roman"/>
          <w:b w:val="false"/>
          <w:bCs w:val="false"/>
          <w:i w:val="false"/>
          <w:iCs w:val="false"/>
          <w:sz w:val="22"/>
          <w:szCs w:val="22"/>
        </w:rPr>
        <w:t xml:space="preserve">Archived synthesis data should not be assumed clean because it imports cleanly. Any re-analysis of a stored project file inherits its extraction errors without signalling them. Open-weight models, which can be run locally or accessed cheaply through model aggregators, make it affordable to test stored datasets at scale, leaving human verification targeted rather than exhaustive.</w:t>
      </w:r>
    </w:p>
    <w:p>
      <w:pPr>
        <w:spacing w:after="140" w:before="280" w:line="360"/>
      </w:pPr>
      <w:r>
        <w:rPr>
          <w:rFonts w:ascii="Times New Roman" w:cs="Times New Roman" w:eastAsia="Times New Roman" w:hAnsi="Times New Roman"/>
          <w:b/>
          <w:bCs/>
          <w:sz w:val="24"/>
          <w:szCs w:val="24"/>
        </w:rPr>
        <w:t xml:space="preserve">Background</w:t>
      </w:r>
    </w:p>
    <w:p>
      <w:pPr>
        <w:spacing w:after="160" w:line="360"/>
        <w:jc w:val="both"/>
      </w:pPr>
      <w:r>
        <w:rPr>
          <w:rFonts w:ascii="Times New Roman" w:cs="Times New Roman" w:eastAsia="Times New Roman" w:hAnsi="Times New Roman"/>
          <w:b w:val="false"/>
          <w:bCs w:val="false"/>
          <w:i w:val="false"/>
          <w:iCs w:val="false"/>
          <w:sz w:val="22"/>
          <w:szCs w:val="22"/>
        </w:rPr>
        <w:t xml:space="preserve">Moving data out of review software and into an analysis environment is a solved problem. The meta package has read RevMan 5 project files natively since 2009,¹ and import fidelity is straightforwardly verifiable: recovered arm-level counts are compared against the summary totals RevMan pre-computes and stores in each outcome node. In the file described below that check passed on all twenty outcome nodes, with no mismatch flags.</w:t>
      </w:r>
    </w:p>
    <w:p>
      <w:pPr>
        <w:spacing w:after="160" w:line="360"/>
        <w:jc w:val="both"/>
      </w:pPr>
      <w:r>
        <w:rPr>
          <w:rFonts w:ascii="Times New Roman" w:cs="Times New Roman" w:eastAsia="Times New Roman" w:hAnsi="Times New Roman"/>
          <w:b w:val="false"/>
          <w:bCs w:val="false"/>
          <w:i w:val="false"/>
          <w:iCs w:val="false"/>
          <w:sz w:val="22"/>
          <w:szCs w:val="22"/>
        </w:rPr>
        <w:t xml:space="preserve">It passed because it tests the wrong thing. Faithful import reproduces the stored values exactly, including the wrong ones. At no point does any step in the pipeline compare a stored value against the publication it was taken from. Internal validation certifies transfer, not truth.</w:t>
      </w:r>
    </w:p>
    <w:p>
      <w:pPr>
        <w:spacing w:after="160" w:line="360"/>
        <w:jc w:val="both"/>
      </w:pPr>
      <w:r>
        <w:rPr>
          <w:rFonts w:ascii="Times New Roman" w:cs="Times New Roman" w:eastAsia="Times New Roman" w:hAnsi="Times New Roman"/>
          <w:b w:val="false"/>
          <w:bCs w:val="false"/>
          <w:i w:val="false"/>
          <w:iCs w:val="false"/>
          <w:sz w:val="22"/>
          <w:szCs w:val="22"/>
        </w:rPr>
        <w:t xml:space="preserve">This matters more as archived review data are re-used — abandoned protocols revived, superseded reviews updated, project files pressed into service as training or evaluation corpora for automation. Of 8137 Cochrane protocols published between 2003 and 2024, 10.0% were withdrawn,² leaving a substantial stock of extracted but unpublished data whose extraction has never been audited and, under current practice, never will be.</w:t>
      </w:r>
    </w:p>
    <w:p>
      <w:pPr>
        <w:spacing w:after="140" w:before="280" w:line="360"/>
      </w:pPr>
      <w:r>
        <w:rPr>
          <w:rFonts w:ascii="Times New Roman" w:cs="Times New Roman" w:eastAsia="Times New Roman" w:hAnsi="Times New Roman"/>
          <w:b/>
          <w:bCs/>
          <w:sz w:val="24"/>
          <w:szCs w:val="24"/>
        </w:rPr>
        <w:t xml:space="preserve">Methods</w:t>
      </w:r>
    </w:p>
    <w:p>
      <w:pPr>
        <w:spacing w:after="160" w:line="360"/>
        <w:jc w:val="both"/>
      </w:pPr>
      <w:r>
        <w:rPr>
          <w:rFonts w:ascii="Times New Roman" w:cs="Times New Roman" w:eastAsia="Times New Roman" w:hAnsi="Times New Roman"/>
          <w:b w:val="false"/>
          <w:bCs w:val="false"/>
          <w:i w:val="false"/>
          <w:iCs w:val="false"/>
          <w:sz w:val="22"/>
          <w:szCs w:val="22"/>
        </w:rPr>
        <w:t xml:space="preserve">Work on large language models in evidence synthesis has run them inside the review workflow and asked whether they are accurate enough, measured against a human reference standard, to assist or replace a reviewer.³ We inverted this. What is described here is a test rather than a workflow step: it is automated, and it is run after the fact against a completed and archived analysis, where no reference standard exists and none can be constructed without doing the original extraction again. Its nearest analogues are the automated consistency checkers applied post hoc to published papers, not the model-assisted screening and extraction literature.</w:t>
      </w:r>
    </w:p>
    <w:p>
      <w:pPr>
        <w:spacing w:after="160" w:line="360"/>
        <w:jc w:val="both"/>
      </w:pPr>
      <w:r>
        <w:rPr>
          <w:rFonts w:ascii="Times New Roman" w:cs="Times New Roman" w:eastAsia="Times New Roman" w:hAnsi="Times New Roman"/>
          <w:b w:val="false"/>
          <w:bCs w:val="false"/>
          <w:i w:val="false"/>
          <w:iCs w:val="false"/>
          <w:sz w:val="22"/>
          <w:szCs w:val="22"/>
        </w:rPr>
        <w:t xml:space="preserve">Five models were used, selected for divergent training provenance rather than capability: three open-weight models accessed through hosted APIs (DeepSeek-R1 through its developer's API; Qwen3-235B and Llama-3.1-70B through the OpenRouter aggregator), and two proprietary models (Gemini, Grok) run interactively in their web interfaces as independent cold reads. The panel reviewed the analysis as it then stood: values that had looked implausible during extraction from the project file were already recorded as challenges in a scripted pre-analysis pass in the analysis code, with any provisional correction marked as unverified. Each received the analysis and the manuscript describing it and was instructed to find errors rather than to summarise or appraise. No model had access to the primary publications. Model versions, access dates, the prompt, the orchestration script, and the unedited outputs of the open-weight panel and both Gemini cold reads are archived; the Grok cold read was not retained (see Data availability).</w:t>
      </w:r>
    </w:p>
    <w:p>
      <w:pPr>
        <w:spacing w:after="160" w:line="360"/>
        <w:jc w:val="both"/>
      </w:pPr>
      <w:r>
        <w:rPr>
          <w:rFonts w:ascii="Times New Roman" w:cs="Times New Roman" w:eastAsia="Times New Roman" w:hAnsi="Times New Roman"/>
          <w:b w:val="false"/>
          <w:bCs w:val="false"/>
          <w:i w:val="false"/>
          <w:iCs w:val="false"/>
          <w:sz w:val="22"/>
          <w:szCs w:val="22"/>
        </w:rPr>
        <w:t xml:space="preserve">Because there was no ground truth, disagreement could not be scored as model error. Disagreement was the test output. What the test returns is a set of flagged values rather than a verdict on them: each flag asserts that a stored or derived value cannot be accepted as it stands, and each flagged value was then verified against the source publication. The automated component ends at the flag. Adjudication, source verification and disposition remained with the authors throughout.</w:t>
      </w:r>
    </w:p>
    <w:p>
      <w:pPr>
        <w:spacing w:after="140" w:before="280" w:line="360"/>
      </w:pPr>
      <w:r>
        <w:rPr>
          <w:rFonts w:ascii="Times New Roman" w:cs="Times New Roman" w:eastAsia="Times New Roman" w:hAnsi="Times New Roman"/>
          <w:b/>
          <w:bCs/>
          <w:sz w:val="24"/>
          <w:szCs w:val="24"/>
        </w:rPr>
        <w:t xml:space="preserve">Results</w:t>
      </w:r>
    </w:p>
    <w:p>
      <w:pPr>
        <w:spacing w:after="160" w:line="360"/>
        <w:jc w:val="both"/>
      </w:pPr>
      <w:r>
        <w:rPr>
          <w:rFonts w:ascii="Times New Roman" w:cs="Times New Roman" w:eastAsia="Times New Roman" w:hAnsi="Times New Roman"/>
          <w:b w:val="false"/>
          <w:bCs w:val="false"/>
          <w:i w:val="false"/>
          <w:iCs w:val="false"/>
          <w:sz w:val="22"/>
          <w:szCs w:val="22"/>
        </w:rPr>
        <w:t xml:space="preserve">The substrate was deliberately unpromising: the benzodiazepine-versus-pregabalin comparison from an abandoned Cochrane review of benzodiazepines in generalised anxiety disorder. The protocol was published in 2012,⁴ the project file was last modified in November 2014, and the protocol was withdrawn at the authors' request in March 2019.⁵ Three industry-sponsored non-inferiority trials met eligibility. The clinical question is settled and the dataset carries no clinical weight; it was chosen for that reason.</w:t>
      </w:r>
    </w:p>
    <w:p>
      <w:pPr>
        <w:spacing w:after="160" w:line="360"/>
        <w:jc w:val="both"/>
      </w:pPr>
      <w:r>
        <w:rPr>
          <w:rFonts w:ascii="Times New Roman" w:cs="Times New Roman" w:eastAsia="Times New Roman" w:hAnsi="Times New Roman"/>
          <w:b w:val="false"/>
          <w:bCs w:val="false"/>
          <w:i w:val="false"/>
          <w:iCs w:val="false"/>
          <w:sz w:val="22"/>
          <w:szCs w:val="22"/>
        </w:rPr>
        <w:t xml:space="preserve">A standard deviation of 0.8, recorded identically for all three pregabalin dose arms of the largest trial,⁶ had looked implausible for an anxiety-rating change score during extraction, and the analysis the panel received carried a provisional correction (SD = SE × √n) marked as unverified. Two models flagged that correction as unverified, Qwen3-235B in four of its five returned reviews and DeepSeek-R1 in two, one noting that if 0.8 were in fact correct the corrected analysis was invalid. Source verification, undertaken in response, established that the trial's tables report least-squares means with standard errors from an ANCOVA model, and state so in a footnote. The stored value is a model-derived standard error, not a standard deviation, and the provisional correction was itself wrong: because ANCOVA standard errors partial out baseline covariance, SE × √n underestimates the raw dispersion, and the raw standard deviations are not recoverable from the published tables. The continuous anxiety-rating outcome is therefore not poolable, and was removed rather than reported with a spuriously precise interval.</w:t>
      </w:r>
    </w:p>
    <w:p>
      <w:pPr>
        <w:spacing w:after="160" w:line="360"/>
        <w:jc w:val="both"/>
      </w:pPr>
      <w:r>
        <w:rPr>
          <w:rFonts w:ascii="Times New Roman" w:cs="Times New Roman" w:eastAsia="Times New Roman" w:hAnsi="Times New Roman"/>
          <w:b w:val="false"/>
          <w:bCs w:val="false"/>
          <w:i w:val="false"/>
          <w:iCs w:val="false"/>
          <w:sz w:val="22"/>
          <w:szCs w:val="22"/>
        </w:rPr>
        <w:t xml:space="preserve">The same source check — undertaken because of those flags — found two further errors in the stored record: trial duration held as eight weeks for a four-week trial, and pregabalin dose labels held as 150/300/450 mg/d for arms that were 300/450/600 mg/d (Table 1).</w:t>
      </w:r>
    </w:p>
    <w:p>
      <w:pPr>
        <w:spacing w:after="80" w:before="120" w:line="300"/>
      </w:pPr>
      <w:r>
        <w:rPr>
          <w:rFonts w:ascii="Times New Roman" w:cs="Times New Roman" w:eastAsia="Times New Roman" w:hAnsi="Times New Roman"/>
          <w:b/>
          <w:bCs/>
          <w:sz w:val="20"/>
          <w:szCs w:val="20"/>
        </w:rPr>
        <w:t xml:space="preserve">Table 1. Extraction errors in the archived project file, stored value against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000"/>
        <w:gridCol w:w="2050"/>
        <w:gridCol w:w="2400"/>
        <w:gridCol w:w="1460"/>
      </w:tblGrid>
      <w:tr>
        <w:trPr>
          <w:tblHeader/>
        </w:trPr>
        <w:tc>
          <w:tcPr>
            <w:tcW w:type="dxa" w:w="1450"/>
            <w:shd w:fill="EDEDED" w:color="auto" w:val="clear"/>
            <w:tcMar>
              <w:top w:type="dxa" w:w="60"/>
              <w:left w:type="dxa" w:w="90"/>
              <w:bottom w:type="dxa" w:w="60"/>
              <w:right w:type="dxa" w:w="90"/>
            </w:tcMar>
          </w:tcPr>
          <w:p>
            <w:pPr>
              <w:spacing w:after="0" w:line="260"/>
            </w:pPr>
            <w:r>
              <w:rPr>
                <w:rFonts w:ascii="Times New Roman" w:cs="Times New Roman" w:eastAsia="Times New Roman" w:hAnsi="Times New Roman"/>
                <w:b/>
                <w:bCs/>
                <w:i w:val="false"/>
                <w:iCs w:val="false"/>
                <w:sz w:val="19"/>
                <w:szCs w:val="19"/>
              </w:rPr>
              <w:t xml:space="preserve">Error class</w:t>
            </w:r>
          </w:p>
        </w:tc>
        <w:tc>
          <w:tcPr>
            <w:tcW w:type="dxa" w:w="2000"/>
            <w:shd w:fill="EDEDED" w:color="auto" w:val="clear"/>
            <w:tcMar>
              <w:top w:type="dxa" w:w="60"/>
              <w:left w:type="dxa" w:w="90"/>
              <w:bottom w:type="dxa" w:w="60"/>
              <w:right w:type="dxa" w:w="90"/>
            </w:tcMar>
          </w:tcPr>
          <w:p>
            <w:pPr>
              <w:spacing w:after="0" w:line="260"/>
            </w:pPr>
            <w:r>
              <w:rPr>
                <w:rFonts w:ascii="Times New Roman" w:cs="Times New Roman" w:eastAsia="Times New Roman" w:hAnsi="Times New Roman"/>
                <w:b/>
                <w:bCs/>
                <w:i w:val="false"/>
                <w:iCs w:val="false"/>
                <w:sz w:val="19"/>
                <w:szCs w:val="19"/>
              </w:rPr>
              <w:t xml:space="preserve">Variable</w:t>
            </w:r>
          </w:p>
        </w:tc>
        <w:tc>
          <w:tcPr>
            <w:tcW w:type="dxa" w:w="2050"/>
            <w:shd w:fill="EDEDED" w:color="auto" w:val="clear"/>
            <w:tcMar>
              <w:top w:type="dxa" w:w="60"/>
              <w:left w:type="dxa" w:w="90"/>
              <w:bottom w:type="dxa" w:w="60"/>
              <w:right w:type="dxa" w:w="90"/>
            </w:tcMar>
          </w:tcPr>
          <w:p>
            <w:pPr>
              <w:spacing w:after="0" w:line="260"/>
            </w:pPr>
            <w:r>
              <w:rPr>
                <w:rFonts w:ascii="Times New Roman" w:cs="Times New Roman" w:eastAsia="Times New Roman" w:hAnsi="Times New Roman"/>
                <w:b/>
                <w:bCs/>
                <w:i w:val="false"/>
                <w:iCs w:val="false"/>
                <w:sz w:val="19"/>
                <w:szCs w:val="19"/>
              </w:rPr>
              <w:t xml:space="preserve">Stored in project file</w:t>
            </w:r>
          </w:p>
        </w:tc>
        <w:tc>
          <w:tcPr>
            <w:tcW w:type="dxa" w:w="2400"/>
            <w:shd w:fill="EDEDED" w:color="auto" w:val="clear"/>
            <w:tcMar>
              <w:top w:type="dxa" w:w="60"/>
              <w:left w:type="dxa" w:w="90"/>
              <w:bottom w:type="dxa" w:w="60"/>
              <w:right w:type="dxa" w:w="90"/>
            </w:tcMar>
          </w:tcPr>
          <w:p>
            <w:pPr>
              <w:spacing w:after="0" w:line="260"/>
            </w:pPr>
            <w:r>
              <w:rPr>
                <w:rFonts w:ascii="Times New Roman" w:cs="Times New Roman" w:eastAsia="Times New Roman" w:hAnsi="Times New Roman"/>
                <w:b/>
                <w:bCs/>
                <w:i w:val="false"/>
                <w:iCs w:val="false"/>
                <w:sz w:val="19"/>
                <w:szCs w:val="19"/>
              </w:rPr>
              <w:t xml:space="preserve">Source value</w:t>
            </w:r>
          </w:p>
        </w:tc>
        <w:tc>
          <w:tcPr>
            <w:tcW w:type="dxa" w:w="1460"/>
            <w:shd w:fill="EDEDED" w:color="auto" w:val="clear"/>
            <w:tcMar>
              <w:top w:type="dxa" w:w="60"/>
              <w:left w:type="dxa" w:w="90"/>
              <w:bottom w:type="dxa" w:w="60"/>
              <w:right w:type="dxa" w:w="90"/>
            </w:tcMar>
          </w:tcPr>
          <w:p>
            <w:pPr>
              <w:spacing w:after="0" w:line="260"/>
            </w:pPr>
            <w:r>
              <w:rPr>
                <w:rFonts w:ascii="Times New Roman" w:cs="Times New Roman" w:eastAsia="Times New Roman" w:hAnsi="Times New Roman"/>
                <w:b/>
                <w:bCs/>
                <w:i w:val="false"/>
                <w:iCs w:val="false"/>
                <w:sz w:val="19"/>
                <w:szCs w:val="19"/>
              </w:rPr>
              <w:t xml:space="preserve">How surfaced</w:t>
            </w:r>
          </w:p>
        </w:tc>
      </w:tr>
      <w:tr>
        <w:trPr>
          <w:cantSplit/>
        </w:trPr>
        <w:tc>
          <w:tcPr>
            <w:tcW w:type="dxa" w:w="1450"/>
            <w:tcMar>
              <w:top w:type="dxa" w:w="60"/>
              <w:left w:type="dxa" w:w="90"/>
              <w:bottom w:type="dxa" w:w="60"/>
              <w:right w:type="dxa" w:w="90"/>
            </w:tcMar>
          </w:tcPr>
          <w:p>
            <w:pPr>
              <w:spacing w:after="0" w:line="260"/>
            </w:pPr>
            <w:r>
              <w:rPr>
                <w:rFonts w:ascii="Times New Roman" w:cs="Times New Roman" w:eastAsia="Times New Roman" w:hAnsi="Times New Roman"/>
                <w:b w:val="false"/>
                <w:bCs w:val="false"/>
                <w:i w:val="false"/>
                <w:iCs w:val="false"/>
                <w:sz w:val="19"/>
                <w:szCs w:val="19"/>
              </w:rPr>
              <w:t xml:space="preserve">Mathematical</w:t>
            </w:r>
          </w:p>
        </w:tc>
        <w:tc>
          <w:tcPr>
            <w:tcW w:type="dxa" w:w="2000"/>
            <w:tcMar>
              <w:top w:type="dxa" w:w="60"/>
              <w:left w:type="dxa" w:w="90"/>
              <w:bottom w:type="dxa" w:w="60"/>
              <w:right w:type="dxa" w:w="90"/>
            </w:tcMar>
          </w:tcPr>
          <w:p>
            <w:pPr>
              <w:spacing w:after="0" w:line="260"/>
            </w:pPr>
            <w:r>
              <w:rPr>
                <w:rFonts w:ascii="Times New Roman" w:cs="Times New Roman" w:eastAsia="Times New Roman" w:hAnsi="Times New Roman"/>
                <w:b w:val="false"/>
                <w:bCs w:val="false"/>
                <w:i w:val="false"/>
                <w:iCs w:val="false"/>
                <w:sz w:val="19"/>
                <w:szCs w:val="19"/>
              </w:rPr>
              <w:t xml:space="preserve">Dispersion, anxiety-rating outcome, three pregabalin arms</w:t>
            </w:r>
          </w:p>
        </w:tc>
        <w:tc>
          <w:tcPr>
            <w:tcW w:type="dxa" w:w="2050"/>
            <w:tcMar>
              <w:top w:type="dxa" w:w="60"/>
              <w:left w:type="dxa" w:w="90"/>
              <w:bottom w:type="dxa" w:w="60"/>
              <w:right w:type="dxa" w:w="90"/>
            </w:tcMar>
          </w:tcPr>
          <w:p>
            <w:pPr>
              <w:spacing w:after="0" w:line="260"/>
            </w:pPr>
            <w:r>
              <w:rPr>
                <w:rFonts w:ascii="Times New Roman" w:cs="Times New Roman" w:eastAsia="Times New Roman" w:hAnsi="Times New Roman"/>
                <w:b w:val="false"/>
                <w:bCs w:val="false"/>
                <w:i w:val="false"/>
                <w:iCs w:val="false"/>
                <w:sz w:val="19"/>
                <w:szCs w:val="19"/>
              </w:rPr>
              <w:t xml:space="preserve">SD = 0.8 (identical across all three arms)</w:t>
            </w:r>
          </w:p>
        </w:tc>
        <w:tc>
          <w:tcPr>
            <w:tcW w:type="dxa" w:w="2400"/>
            <w:tcMar>
              <w:top w:type="dxa" w:w="60"/>
              <w:left w:type="dxa" w:w="90"/>
              <w:bottom w:type="dxa" w:w="60"/>
              <w:right w:type="dxa" w:w="90"/>
            </w:tcMar>
          </w:tcPr>
          <w:p>
            <w:pPr>
              <w:spacing w:after="0" w:line="260"/>
            </w:pPr>
            <w:r>
              <w:rPr>
                <w:rFonts w:ascii="Times New Roman" w:cs="Times New Roman" w:eastAsia="Times New Roman" w:hAnsi="Times New Roman"/>
                <w:b w:val="false"/>
                <w:bCs w:val="false"/>
                <w:i w:val="false"/>
                <w:iCs w:val="false"/>
                <w:sz w:val="19"/>
                <w:szCs w:val="19"/>
              </w:rPr>
              <w:t xml:space="preserve">0.8 is the ANCOVA standard error, not a standard deviation (stated in the source table footnote)</w:t>
            </w:r>
          </w:p>
        </w:tc>
        <w:tc>
          <w:tcPr>
            <w:tcW w:type="dxa" w:w="1460"/>
            <w:tcMar>
              <w:top w:type="dxa" w:w="60"/>
              <w:left w:type="dxa" w:w="90"/>
              <w:bottom w:type="dxa" w:w="60"/>
              <w:right w:type="dxa" w:w="90"/>
            </w:tcMar>
          </w:tcPr>
          <w:p>
            <w:pPr>
              <w:spacing w:after="0" w:line="260"/>
            </w:pPr>
            <w:r>
              <w:rPr>
                <w:rFonts w:ascii="Times New Roman" w:cs="Times New Roman" w:eastAsia="Times New Roman" w:hAnsi="Times New Roman"/>
                <w:b w:val="false"/>
                <w:bCs w:val="false"/>
                <w:i w:val="false"/>
                <w:iCs w:val="false"/>
                <w:sz w:val="19"/>
                <w:szCs w:val="19"/>
              </w:rPr>
              <w:t xml:space="preserve">Suspected at extraction; models flagged the provisional correction as unverified; source check</w:t>
            </w:r>
          </w:p>
        </w:tc>
      </w:tr>
      <w:tr>
        <w:trPr>
          <w:cantSplit/>
        </w:trPr>
        <w:tc>
          <w:tcPr>
            <w:tcW w:type="dxa" w:w="1450"/>
            <w:tcMar>
              <w:top w:type="dxa" w:w="60"/>
              <w:left w:type="dxa" w:w="90"/>
              <w:bottom w:type="dxa" w:w="60"/>
              <w:right w:type="dxa" w:w="90"/>
            </w:tcMar>
          </w:tcPr>
          <w:p>
            <w:pPr>
              <w:spacing w:after="0" w:line="260"/>
            </w:pPr>
            <w:r>
              <w:rPr>
                <w:rFonts w:ascii="Times New Roman" w:cs="Times New Roman" w:eastAsia="Times New Roman" w:hAnsi="Times New Roman"/>
                <w:b w:val="false"/>
                <w:bCs w:val="false"/>
                <w:i w:val="false"/>
                <w:iCs w:val="false"/>
                <w:sz w:val="19"/>
                <w:szCs w:val="19"/>
              </w:rPr>
              <w:t xml:space="preserve">Factual</w:t>
            </w:r>
          </w:p>
        </w:tc>
        <w:tc>
          <w:tcPr>
            <w:tcW w:type="dxa" w:w="2000"/>
            <w:tcMar>
              <w:top w:type="dxa" w:w="60"/>
              <w:left w:type="dxa" w:w="90"/>
              <w:bottom w:type="dxa" w:w="60"/>
              <w:right w:type="dxa" w:w="90"/>
            </w:tcMar>
          </w:tcPr>
          <w:p>
            <w:pPr>
              <w:spacing w:after="0" w:line="260"/>
            </w:pPr>
            <w:r>
              <w:rPr>
                <w:rFonts w:ascii="Times New Roman" w:cs="Times New Roman" w:eastAsia="Times New Roman" w:hAnsi="Times New Roman"/>
                <w:b w:val="false"/>
                <w:bCs w:val="false"/>
                <w:i w:val="false"/>
                <w:iCs w:val="false"/>
                <w:sz w:val="19"/>
                <w:szCs w:val="19"/>
              </w:rPr>
              <w:t xml:space="preserve">Trial duration</w:t>
            </w:r>
          </w:p>
        </w:tc>
        <w:tc>
          <w:tcPr>
            <w:tcW w:type="dxa" w:w="2050"/>
            <w:tcMar>
              <w:top w:type="dxa" w:w="60"/>
              <w:left w:type="dxa" w:w="90"/>
              <w:bottom w:type="dxa" w:w="60"/>
              <w:right w:type="dxa" w:w="90"/>
            </w:tcMar>
          </w:tcPr>
          <w:p>
            <w:pPr>
              <w:spacing w:after="0" w:line="260"/>
            </w:pPr>
            <w:r>
              <w:rPr>
                <w:rFonts w:ascii="Times New Roman" w:cs="Times New Roman" w:eastAsia="Times New Roman" w:hAnsi="Times New Roman"/>
                <w:b w:val="false"/>
                <w:bCs w:val="false"/>
                <w:i w:val="false"/>
                <w:iCs w:val="false"/>
                <w:sz w:val="19"/>
                <w:szCs w:val="19"/>
              </w:rPr>
              <w:t xml:space="preserve">8 weeks</w:t>
            </w:r>
          </w:p>
        </w:tc>
        <w:tc>
          <w:tcPr>
            <w:tcW w:type="dxa" w:w="2400"/>
            <w:tcMar>
              <w:top w:type="dxa" w:w="60"/>
              <w:left w:type="dxa" w:w="90"/>
              <w:bottom w:type="dxa" w:w="60"/>
              <w:right w:type="dxa" w:w="90"/>
            </w:tcMar>
          </w:tcPr>
          <w:p>
            <w:pPr>
              <w:spacing w:after="0" w:line="260"/>
            </w:pPr>
            <w:r>
              <w:rPr>
                <w:rFonts w:ascii="Times New Roman" w:cs="Times New Roman" w:eastAsia="Times New Roman" w:hAnsi="Times New Roman"/>
                <w:b w:val="false"/>
                <w:bCs w:val="false"/>
                <w:i w:val="false"/>
                <w:iCs w:val="false"/>
                <w:sz w:val="19"/>
                <w:szCs w:val="19"/>
              </w:rPr>
              <w:t xml:space="preserve">4 weeks</w:t>
            </w:r>
          </w:p>
        </w:tc>
        <w:tc>
          <w:tcPr>
            <w:tcW w:type="dxa" w:w="1460"/>
            <w:tcMar>
              <w:top w:type="dxa" w:w="60"/>
              <w:left w:type="dxa" w:w="90"/>
              <w:bottom w:type="dxa" w:w="60"/>
              <w:right w:type="dxa" w:w="90"/>
            </w:tcMar>
          </w:tcPr>
          <w:p>
            <w:pPr>
              <w:spacing w:after="0" w:line="260"/>
            </w:pPr>
            <w:r>
              <w:rPr>
                <w:rFonts w:ascii="Times New Roman" w:cs="Times New Roman" w:eastAsia="Times New Roman" w:hAnsi="Times New Roman"/>
                <w:b w:val="false"/>
                <w:bCs w:val="false"/>
                <w:i w:val="false"/>
                <w:iCs w:val="false"/>
                <w:sz w:val="19"/>
                <w:szCs w:val="19"/>
              </w:rPr>
              <w:t xml:space="preserve">Human source verification, prompted by error 1</w:t>
            </w:r>
          </w:p>
        </w:tc>
      </w:tr>
      <w:tr>
        <w:trPr>
          <w:cantSplit/>
        </w:trPr>
        <w:tc>
          <w:tcPr>
            <w:tcW w:type="dxa" w:w="1450"/>
            <w:tcMar>
              <w:top w:type="dxa" w:w="60"/>
              <w:left w:type="dxa" w:w="90"/>
              <w:bottom w:type="dxa" w:w="60"/>
              <w:right w:type="dxa" w:w="90"/>
            </w:tcMar>
          </w:tcPr>
          <w:p>
            <w:pPr>
              <w:spacing w:after="0" w:line="260"/>
            </w:pPr>
            <w:r>
              <w:rPr>
                <w:rFonts w:ascii="Times New Roman" w:cs="Times New Roman" w:eastAsia="Times New Roman" w:hAnsi="Times New Roman"/>
                <w:b w:val="false"/>
                <w:bCs w:val="false"/>
                <w:i w:val="false"/>
                <w:iCs w:val="false"/>
                <w:sz w:val="19"/>
                <w:szCs w:val="19"/>
              </w:rPr>
              <w:t xml:space="preserve">Factual</w:t>
            </w:r>
          </w:p>
        </w:tc>
        <w:tc>
          <w:tcPr>
            <w:tcW w:type="dxa" w:w="2000"/>
            <w:tcMar>
              <w:top w:type="dxa" w:w="60"/>
              <w:left w:type="dxa" w:w="90"/>
              <w:bottom w:type="dxa" w:w="60"/>
              <w:right w:type="dxa" w:w="90"/>
            </w:tcMar>
          </w:tcPr>
          <w:p>
            <w:pPr>
              <w:spacing w:after="0" w:line="260"/>
            </w:pPr>
            <w:r>
              <w:rPr>
                <w:rFonts w:ascii="Times New Roman" w:cs="Times New Roman" w:eastAsia="Times New Roman" w:hAnsi="Times New Roman"/>
                <w:b w:val="false"/>
                <w:bCs w:val="false"/>
                <w:i w:val="false"/>
                <w:iCs w:val="false"/>
                <w:sz w:val="19"/>
                <w:szCs w:val="19"/>
              </w:rPr>
              <w:t xml:space="preserve">Pregabalin dose labels</w:t>
            </w:r>
          </w:p>
        </w:tc>
        <w:tc>
          <w:tcPr>
            <w:tcW w:type="dxa" w:w="2050"/>
            <w:tcMar>
              <w:top w:type="dxa" w:w="60"/>
              <w:left w:type="dxa" w:w="90"/>
              <w:bottom w:type="dxa" w:w="60"/>
              <w:right w:type="dxa" w:w="90"/>
            </w:tcMar>
          </w:tcPr>
          <w:p>
            <w:pPr>
              <w:spacing w:after="0" w:line="260"/>
            </w:pPr>
            <w:r>
              <w:rPr>
                <w:rFonts w:ascii="Times New Roman" w:cs="Times New Roman" w:eastAsia="Times New Roman" w:hAnsi="Times New Roman"/>
                <w:b w:val="false"/>
                <w:bCs w:val="false"/>
                <w:i w:val="false"/>
                <w:iCs w:val="false"/>
                <w:sz w:val="19"/>
                <w:szCs w:val="19"/>
              </w:rPr>
              <w:t xml:space="preserve">150 / 300 / 450 mg/d</w:t>
            </w:r>
          </w:p>
        </w:tc>
        <w:tc>
          <w:tcPr>
            <w:tcW w:type="dxa" w:w="2400"/>
            <w:tcMar>
              <w:top w:type="dxa" w:w="60"/>
              <w:left w:type="dxa" w:w="90"/>
              <w:bottom w:type="dxa" w:w="60"/>
              <w:right w:type="dxa" w:w="90"/>
            </w:tcMar>
          </w:tcPr>
          <w:p>
            <w:pPr>
              <w:spacing w:after="0" w:line="260"/>
            </w:pPr>
            <w:r>
              <w:rPr>
                <w:rFonts w:ascii="Times New Roman" w:cs="Times New Roman" w:eastAsia="Times New Roman" w:hAnsi="Times New Roman"/>
                <w:b w:val="false"/>
                <w:bCs w:val="false"/>
                <w:i w:val="false"/>
                <w:iCs w:val="false"/>
                <w:sz w:val="19"/>
                <w:szCs w:val="19"/>
              </w:rPr>
              <w:t xml:space="preserve">300 / 450 / 600 mg/d</w:t>
            </w:r>
          </w:p>
        </w:tc>
        <w:tc>
          <w:tcPr>
            <w:tcW w:type="dxa" w:w="1460"/>
            <w:tcMar>
              <w:top w:type="dxa" w:w="60"/>
              <w:left w:type="dxa" w:w="90"/>
              <w:bottom w:type="dxa" w:w="60"/>
              <w:right w:type="dxa" w:w="90"/>
            </w:tcMar>
          </w:tcPr>
          <w:p>
            <w:pPr>
              <w:spacing w:after="0" w:line="260"/>
            </w:pPr>
            <w:r>
              <w:rPr>
                <w:rFonts w:ascii="Times New Roman" w:cs="Times New Roman" w:eastAsia="Times New Roman" w:hAnsi="Times New Roman"/>
                <w:b w:val="false"/>
                <w:bCs w:val="false"/>
                <w:i w:val="false"/>
                <w:iCs w:val="false"/>
                <w:sz w:val="19"/>
                <w:szCs w:val="19"/>
              </w:rPr>
              <w:t xml:space="preserve">Human source verification, prompted by error 1</w:t>
            </w:r>
          </w:p>
        </w:tc>
      </w:tr>
    </w:tbl>
    <w:p>
      <w:pPr>
        <w:spacing w:after="200" w:before="80" w:line="280"/>
      </w:pPr>
      <w:r>
        <w:rPr>
          <w:rFonts w:ascii="Times New Roman" w:cs="Times New Roman" w:eastAsia="Times New Roman" w:hAnsi="Times New Roman"/>
          <w:i/>
          <w:iCs/>
          <w:sz w:val="19"/>
          <w:szCs w:val="19"/>
        </w:rPr>
        <w:t xml:space="preserve">None of the three is detectable from within the analysis; all three reproduce exactly under faithful import. Errors 2 and 3 were identified by no model, but by human source verification prompted by the model flags on error 1.</w:t>
      </w:r>
    </w:p>
    <w:p>
      <w:pPr>
        <w:spacing w:after="160" w:line="360"/>
        <w:jc w:val="both"/>
      </w:pPr>
      <w:r>
        <w:rPr>
          <w:rFonts w:ascii="Times New Roman" w:cs="Times New Roman" w:eastAsia="Times New Roman" w:hAnsi="Times New Roman"/>
          <w:b w:val="false"/>
          <w:bCs w:val="false"/>
          <w:i w:val="false"/>
          <w:iCs w:val="false"/>
          <w:sz w:val="22"/>
          <w:szCs w:val="22"/>
        </w:rPr>
        <w:t xml:space="preserve">Two of the three errors were named by no model, but found by a human reading the source publication after the test had fired on something else. This is the expected behaviour of a screening test rather than a shortcoming of it: a positive result licenses a targeted examination, and that examination can find more than the result which prompted it. Counting only the errors the models named would understate what running the test yields.</w:t>
      </w:r>
    </w:p>
    <w:p>
      <w:pPr>
        <w:spacing w:after="160" w:line="360"/>
        <w:jc w:val="both"/>
      </w:pPr>
      <w:r>
        <w:rPr>
          <w:rFonts w:ascii="Times New Roman" w:cs="Times New Roman" w:eastAsia="Times New Roman" w:hAnsi="Times New Roman"/>
          <w:b w:val="false"/>
          <w:bCs w:val="false"/>
          <w:i w:val="false"/>
          <w:iCs w:val="false"/>
          <w:sz w:val="22"/>
          <w:szCs w:val="22"/>
        </w:rPr>
        <w:t xml:space="preserve">The panel also converged on two statistical points — interpretation of τ² and I² at k = 3,⁷ and the absence of a small-sample variance correction in the cluster-robust analysis.⁸ We read convergence as corroboration rather than independent confirmation. Agreement across models indicates shared priors, which is the opposite of the property being exploited here, and models are unreliable auditors of work that matches their own priors.⁹,¹⁰ Divergence widens coverage; convergence raises confidence; the two are not the same and should not be reported as though they were.</w:t>
      </w:r>
    </w:p>
    <w:p>
      <w:pPr>
        <w:spacing w:after="140" w:before="280" w:line="360"/>
      </w:pPr>
      <w:r>
        <w:rPr>
          <w:rFonts w:ascii="Times New Roman" w:cs="Times New Roman" w:eastAsia="Times New Roman" w:hAnsi="Times New Roman"/>
          <w:b/>
          <w:bCs/>
          <w:sz w:val="24"/>
          <w:szCs w:val="24"/>
        </w:rPr>
        <w:t xml:space="preserve">Discussion</w:t>
      </w:r>
    </w:p>
    <w:p>
      <w:pPr>
        <w:spacing w:after="160" w:line="360"/>
        <w:jc w:val="both"/>
      </w:pPr>
      <w:r>
        <w:rPr>
          <w:rFonts w:ascii="Times New Roman" w:cs="Times New Roman" w:eastAsia="Times New Roman" w:hAnsi="Times New Roman"/>
          <w:b w:val="false"/>
          <w:bCs w:val="false"/>
          <w:i w:val="false"/>
          <w:iCs w:val="false"/>
          <w:sz w:val="22"/>
          <w:szCs w:val="22"/>
        </w:rPr>
        <w:t xml:space="preserve">Two implications follow for anyone re-using archived synthesis data. The first is that such data should not be treated as clean merely because it imports cleanly; any re-analysis of a stored project file, automated or not, inherits its extraction errors silently and will not signal them. The second is that the economics of checking have changed. Exhaustive re-verification against sources has always been unaffordable, which is why it is not done. Open-weight models, run locally or through low-cost aggregators, make it cheap to test a stored dataset in full, leaving the expensive human step targeted rather than exhaustive. That is a modest claim, and on this evidence it is the one the test supports.</w:t>
      </w:r>
    </w:p>
    <w:p>
      <w:pPr>
        <w:spacing w:after="160" w:line="360"/>
        <w:jc w:val="both"/>
      </w:pPr>
      <w:r>
        <w:rPr>
          <w:rFonts w:ascii="Times New Roman" w:cs="Times New Roman" w:eastAsia="Times New Roman" w:hAnsi="Times New Roman"/>
          <w:b w:val="false"/>
          <w:bCs w:val="false"/>
          <w:i w:val="false"/>
          <w:iCs w:val="false"/>
          <w:sz w:val="22"/>
          <w:szCs w:val="22"/>
        </w:rPr>
        <w:t xml:space="preserve">One project file, one comparison, three trials. This is a detection event, not a detection rate. As a test it has no established operating characteristics: we can report that it returned true positives, not its sensitivity, and the false-positive burden it would impose on a clean file is uncharacterised. Establishing a denominator requires re-extracting the whole file by hand, which we did not do. The framing of this report also changed during review: an earlier draft claimed a novel RevMan 5 parser, functionality available since 2009.¹ The archived outputs do not record which review raised this, and we do not count it as a detection.</w:t>
      </w:r>
    </w:p>
    <w:p>
      <w:pPr>
        <w:spacing w:after="160" w:line="360"/>
        <w:jc w:val="both"/>
      </w:pPr>
      <w:r>
        <w:rPr>
          <w:rFonts w:ascii="Times New Roman" w:cs="Times New Roman" w:eastAsia="Times New Roman" w:hAnsi="Times New Roman"/>
          <w:b w:val="false"/>
          <w:bCs w:val="false"/>
          <w:i w:val="false"/>
          <w:iCs w:val="false"/>
          <w:sz w:val="22"/>
          <w:szCs w:val="22"/>
        </w:rPr>
        <w:t xml:space="preserve">Model flagging is unstable across runs. Qwen3-235B graded the manuscript 3 in four runs and 2 in a fifth. The orchestration script meanwhile recorded every one of its grades as 0, a parsing error that propagated faithfully into every output file and was found only by reading the response text; the verification layer needs verifying too. This argues for panels with human adjudication rather than for treating any single model's output as a finding. A panel sharing an unrecognised common prior would share a blind spot; divergence of provenance is a matter of degree, not a guarantee of independence. The human verification step is load-bearing, and it is also the step most often skipped in secondary analysis.</w:t>
      </w:r>
    </w:p>
    <w:p>
      <w:pPr>
        <w:spacing w:after="160" w:line="360"/>
        <w:jc w:val="both"/>
      </w:pPr>
      <w:r>
        <w:rPr>
          <w:rFonts w:ascii="Times New Roman" w:cs="Times New Roman" w:eastAsia="Times New Roman" w:hAnsi="Times New Roman"/>
          <w:b w:val="false"/>
          <w:bCs w:val="false"/>
          <w:i w:val="false"/>
          <w:iCs w:val="false"/>
          <w:sz w:val="22"/>
          <w:szCs w:val="22"/>
        </w:rPr>
        <w:t xml:space="preserve">This report describes a test and one application of it rather than an evaluation of the test's performance, and is reported as such:¹¹ no accuracy, sensitivity or agreement metrics are claimed, because the comparison that would generate them does not exist for archived data. The obvious next study is a characterisation rather than a demonstration — a published meta-analysis whose hand extraction is a matter of record, re-extracted blind, with concordance reported per field and the pooled estimate recomputed under each disagreement. That design yields the rate this one cannot.</w:t>
      </w:r>
    </w:p>
    <w:p>
      <w:pPr>
        <w:spacing w:after="140" w:before="280" w:line="360"/>
      </w:pPr>
      <w:r>
        <w:rPr>
          <w:rFonts w:ascii="Times New Roman" w:cs="Times New Roman" w:eastAsia="Times New Roman" w:hAnsi="Times New Roman"/>
          <w:b/>
          <w:bCs/>
          <w:sz w:val="24"/>
          <w:szCs w:val="24"/>
        </w:rPr>
        <w:t xml:space="preserve">Declarations</w:t>
      </w:r>
    </w:p>
    <w:p>
      <w:pPr>
        <w:spacing w:after="160" w:line="360"/>
        <w:jc w:val="left"/>
      </w:pPr>
      <w:r>
        <w:rPr>
          <w:rFonts w:ascii="Times New Roman" w:cs="Times New Roman" w:eastAsia="Times New Roman" w:hAnsi="Times New Roman"/>
          <w:b/>
          <w:bCs/>
          <w:i w:val="false"/>
          <w:iCs w:val="false"/>
          <w:sz w:val="22"/>
          <w:szCs w:val="22"/>
        </w:rPr>
        <w:t xml:space="preserve">Author contributions (CRediT). </w:t>
      </w:r>
      <w:r>
        <w:rPr>
          <w:rFonts w:ascii="Times New Roman" w:cs="Times New Roman" w:eastAsia="Times New Roman" w:hAnsi="Times New Roman"/>
          <w:b w:val="false"/>
          <w:bCs w:val="false"/>
          <w:i w:val="false"/>
          <w:iCs w:val="false"/>
          <w:sz w:val="22"/>
          <w:szCs w:val="22"/>
        </w:rPr>
        <w:t xml:space="preserve">CKG: conceptualization, methodology, software, investigation, data curation, writing — original draft. PG: methodology, formal analysis, writing — review and editing. GG: investigation, validation, writing — review and editing.</w:t>
      </w:r>
    </w:p>
    <w:p>
      <w:pPr>
        <w:spacing w:after="160" w:line="360"/>
        <w:jc w:val="left"/>
      </w:pPr>
      <w:r>
        <w:rPr>
          <w:rFonts w:ascii="Times New Roman" w:cs="Times New Roman" w:eastAsia="Times New Roman" w:hAnsi="Times New Roman"/>
          <w:b/>
          <w:bCs/>
          <w:i w:val="false"/>
          <w:iCs w:val="false"/>
          <w:sz w:val="22"/>
          <w:szCs w:val="22"/>
        </w:rPr>
        <w:t xml:space="preserve">Competing interests. </w:t>
      </w:r>
      <w:r>
        <w:rPr>
          <w:rFonts w:ascii="Times New Roman" w:cs="Times New Roman" w:eastAsia="Times New Roman" w:hAnsi="Times New Roman"/>
          <w:b w:val="false"/>
          <w:bCs w:val="false"/>
          <w:i w:val="false"/>
          <w:iCs w:val="false"/>
          <w:sz w:val="22"/>
          <w:szCs w:val="22"/>
        </w:rPr>
        <w:t xml:space="preserve">The authors declare none.</w:t>
      </w:r>
    </w:p>
    <w:p>
      <w:pPr>
        <w:spacing w:after="160" w:line="360"/>
        <w:jc w:val="left"/>
      </w:pPr>
      <w:r>
        <w:rPr>
          <w:rFonts w:ascii="Times New Roman" w:cs="Times New Roman" w:eastAsia="Times New Roman" w:hAnsi="Times New Roman"/>
          <w:b/>
          <w:bCs/>
          <w:i w:val="false"/>
          <w:iCs w:val="false"/>
          <w:sz w:val="22"/>
          <w:szCs w:val="22"/>
        </w:rPr>
        <w:t xml:space="preserve">Funding statement. </w:t>
      </w:r>
      <w:r>
        <w:rPr>
          <w:rFonts w:ascii="Times New Roman" w:cs="Times New Roman" w:eastAsia="Times New Roman" w:hAnsi="Times New Roman"/>
          <w:b w:val="false"/>
          <w:bCs w:val="false"/>
          <w:i w:val="false"/>
          <w:iCs w:val="false"/>
          <w:sz w:val="22"/>
          <w:szCs w:val="22"/>
        </w:rPr>
        <w:t xml:space="preserve">The authors declare that no specific funding has been received for this article.</w:t>
      </w:r>
    </w:p>
    <w:p>
      <w:pPr>
        <w:spacing w:after="160" w:line="360"/>
        <w:jc w:val="left"/>
      </w:pPr>
      <w:r>
        <w:rPr>
          <w:rFonts w:ascii="Times New Roman" w:cs="Times New Roman" w:eastAsia="Times New Roman" w:hAnsi="Times New Roman"/>
          <w:b/>
          <w:bCs/>
          <w:i w:val="false"/>
          <w:iCs w:val="false"/>
          <w:sz w:val="22"/>
          <w:szCs w:val="22"/>
        </w:rPr>
        <w:t xml:space="preserve">Data availability statement. </w:t>
      </w:r>
      <w:r>
        <w:rPr>
          <w:rFonts w:ascii="Times New Roman" w:cs="Times New Roman" w:eastAsia="Times New Roman" w:hAnsi="Times New Roman"/>
          <w:b w:val="false"/>
          <w:bCs w:val="false"/>
          <w:i w:val="false"/>
          <w:iCs w:val="false"/>
          <w:sz w:val="22"/>
          <w:szCs w:val="22"/>
        </w:rPr>
        <w:t xml:space="preserve">The source RevMan 5 project file, analysis code, review prompt, orchestration script, model versions and access dates, and the unedited outputs of the open-weight panel and both Gemini cold reads are archived at Zenodo (doi:10.5281/zenodo.[NEW VERSION]; concept DOI 10.5281/zenodo.21252858, resolving to the current version), with the source repository on GitHub. The Grok cold read was run interactively and could not be recovered; this gap is documented in the archive. The archive also contains the original, longer reference version of this work, from which this report was condensed and revised for publication. Code is released under the MIT licence; data and model outputs under CC-BY.</w:t>
      </w:r>
    </w:p>
    <w:p>
      <w:pPr>
        <w:spacing w:after="160" w:line="360"/>
        <w:jc w:val="left"/>
      </w:pPr>
      <w:r>
        <w:rPr>
          <w:rFonts w:ascii="Times New Roman" w:cs="Times New Roman" w:eastAsia="Times New Roman" w:hAnsi="Times New Roman"/>
          <w:b/>
          <w:bCs/>
          <w:i w:val="false"/>
          <w:iCs w:val="false"/>
          <w:sz w:val="22"/>
          <w:szCs w:val="22"/>
        </w:rPr>
        <w:t xml:space="preserve">Use of AI tools. </w:t>
      </w:r>
      <w:r>
        <w:rPr>
          <w:rFonts w:ascii="Times New Roman" w:cs="Times New Roman" w:eastAsia="Times New Roman" w:hAnsi="Times New Roman"/>
          <w:b w:val="false"/>
          <w:bCs w:val="false"/>
          <w:i w:val="false"/>
          <w:iCs w:val="false"/>
          <w:sz w:val="22"/>
          <w:szCs w:val="22"/>
        </w:rPr>
        <w:t xml:space="preserve">The models named in the Methods are the subject of this report, and their use is described there in full, including versions and access dates. Drafting assistance from a large language model (Claude, Anthropic) was used in preparing the manuscript text. All numerical output was generated in R. All interpretations and the disposition of every model-identified concern are the responsibility of the named human authors.</w:t>
      </w:r>
    </w:p>
    <w:p>
      <w:pPr>
        <w:spacing w:after="140" w:before="280" w:line="360"/>
      </w:pPr>
      <w:r>
        <w:rPr>
          <w:rFonts w:ascii="Times New Roman" w:cs="Times New Roman" w:eastAsia="Times New Roman" w:hAnsi="Times New Roman"/>
          <w:b/>
          <w:bCs/>
          <w:sz w:val="24"/>
          <w:szCs w:val="24"/>
        </w:rPr>
        <w:t xml:space="preserve">References</w:t>
      </w:r>
    </w:p>
    <w:p>
      <w:pPr>
        <w:spacing w:after="90" w:line="300"/>
      </w:pPr>
      <w:r>
        <w:rPr>
          <w:rFonts w:ascii="Times New Roman" w:cs="Times New Roman" w:eastAsia="Times New Roman" w:hAnsi="Times New Roman"/>
          <w:sz w:val="20"/>
          <w:szCs w:val="20"/>
        </w:rPr>
        <w:t xml:space="preserve">1. Schwarzer G. meta: an R package for meta-analysis. </w:t>
      </w:r>
      <w:r>
        <w:rPr>
          <w:rFonts w:ascii="Times New Roman" w:cs="Times New Roman" w:eastAsia="Times New Roman" w:hAnsi="Times New Roman"/>
          <w:sz w:val="20"/>
          <w:szCs w:val="20"/>
          <w:i/>
          <w:iCs/>
        </w:rPr>
        <w:t xml:space="preserve">R News</w:t>
      </w:r>
      <w:r>
        <w:rPr>
          <w:rFonts w:ascii="Times New Roman" w:cs="Times New Roman" w:eastAsia="Times New Roman" w:hAnsi="Times New Roman"/>
          <w:sz w:val="20"/>
          <w:szCs w:val="20"/>
        </w:rPr>
        <w:t xml:space="preserve">. 2007;7(3):40-45.</w:t>
      </w:r>
    </w:p>
    <w:p>
      <w:pPr>
        <w:spacing w:after="90" w:line="300"/>
      </w:pPr>
      <w:r>
        <w:rPr>
          <w:rFonts w:ascii="Times New Roman" w:cs="Times New Roman" w:eastAsia="Times New Roman" w:hAnsi="Times New Roman"/>
          <w:sz w:val="20"/>
          <w:szCs w:val="20"/>
        </w:rPr>
        <w:t xml:space="preserve">2. Li S, Wu C, Zhang Z, Xiao M, Murad MH, Lin L. Lifecycles of Cochrane systematic reviews (2003-2024): a bibliographic study. </w:t>
      </w:r>
      <w:r>
        <w:rPr>
          <w:rFonts w:ascii="Times New Roman" w:cs="Times New Roman" w:eastAsia="Times New Roman" w:hAnsi="Times New Roman"/>
          <w:sz w:val="20"/>
          <w:szCs w:val="20"/>
          <w:i/>
          <w:iCs/>
        </w:rPr>
        <w:t xml:space="preserve">Cochrane Evid Synth Methods</w:t>
      </w:r>
      <w:r>
        <w:rPr>
          <w:rFonts w:ascii="Times New Roman" w:cs="Times New Roman" w:eastAsia="Times New Roman" w:hAnsi="Times New Roman"/>
          <w:sz w:val="20"/>
          <w:szCs w:val="20"/>
        </w:rPr>
        <w:t xml:space="preserve">. 2025;3:e70043.</w:t>
      </w:r>
    </w:p>
    <w:p>
      <w:pPr>
        <w:spacing w:after="90" w:line="300"/>
      </w:pPr>
      <w:r>
        <w:rPr>
          <w:rFonts w:ascii="Times New Roman" w:cs="Times New Roman" w:eastAsia="Times New Roman" w:hAnsi="Times New Roman"/>
          <w:sz w:val="20"/>
          <w:szCs w:val="20"/>
        </w:rPr>
        <w:t xml:space="preserve">3. Wittlinger S, Meerjansen J, Wolf F, et al. Multi-LLM disagreement as a scalable detector of human annotation errors in structured data from clinical free-text. </w:t>
      </w:r>
      <w:r>
        <w:rPr>
          <w:rFonts w:ascii="Times New Roman" w:cs="Times New Roman" w:eastAsia="Times New Roman" w:hAnsi="Times New Roman"/>
          <w:sz w:val="20"/>
          <w:szCs w:val="20"/>
          <w:i/>
          <w:iCs/>
        </w:rPr>
        <w:t xml:space="preserve">medRxiv</w:t>
      </w:r>
      <w:r>
        <w:rPr>
          <w:rFonts w:ascii="Times New Roman" w:cs="Times New Roman" w:eastAsia="Times New Roman" w:hAnsi="Times New Roman"/>
          <w:sz w:val="20"/>
          <w:szCs w:val="20"/>
        </w:rPr>
        <w:t xml:space="preserve">. Preprint posted online May 2026. doi:10.64898/2026.05.04.26352392</w:t>
      </w:r>
    </w:p>
    <w:p>
      <w:pPr>
        <w:spacing w:after="90" w:line="300"/>
      </w:pPr>
      <w:r>
        <w:rPr>
          <w:rFonts w:ascii="Times New Roman" w:cs="Times New Roman" w:eastAsia="Times New Roman" w:hAnsi="Times New Roman"/>
          <w:sz w:val="20"/>
          <w:szCs w:val="20"/>
        </w:rPr>
        <w:t xml:space="preserve">4. Gale C, Herbison GP, Glue P, Coverdale J, Guaiana G. Benzodiazepines for generalised anxiety disorder (GAD) (Protocol). </w:t>
      </w:r>
      <w:r>
        <w:rPr>
          <w:rFonts w:ascii="Times New Roman" w:cs="Times New Roman" w:eastAsia="Times New Roman" w:hAnsi="Times New Roman"/>
          <w:sz w:val="20"/>
          <w:szCs w:val="20"/>
          <w:i/>
          <w:iCs/>
        </w:rPr>
        <w:t xml:space="preserve">Cochrane Database Syst Rev</w:t>
      </w:r>
      <w:r>
        <w:rPr>
          <w:rFonts w:ascii="Times New Roman" w:cs="Times New Roman" w:eastAsia="Times New Roman" w:hAnsi="Times New Roman"/>
          <w:sz w:val="20"/>
          <w:szCs w:val="20"/>
        </w:rPr>
        <w:t xml:space="preserve">. 2012;(11):CD001846.</w:t>
      </w:r>
    </w:p>
    <w:p>
      <w:pPr>
        <w:spacing w:after="90" w:line="300"/>
      </w:pPr>
      <w:r>
        <w:rPr>
          <w:rFonts w:ascii="Times New Roman" w:cs="Times New Roman" w:eastAsia="Times New Roman" w:hAnsi="Times New Roman"/>
          <w:sz w:val="20"/>
          <w:szCs w:val="20"/>
        </w:rPr>
        <w:t xml:space="preserve">5. Gale C, Herbison GP, Glue P, Coverdale J, Guaiana G. Benzodiazepines for generalised anxiety disorder (GAD) [withdrawn]. </w:t>
      </w:r>
      <w:r>
        <w:rPr>
          <w:rFonts w:ascii="Times New Roman" w:cs="Times New Roman" w:eastAsia="Times New Roman" w:hAnsi="Times New Roman"/>
          <w:sz w:val="20"/>
          <w:szCs w:val="20"/>
          <w:i/>
          <w:iCs/>
        </w:rPr>
        <w:t xml:space="preserve">Cochrane Database Syst Rev</w:t>
      </w:r>
      <w:r>
        <w:rPr>
          <w:rFonts w:ascii="Times New Roman" w:cs="Times New Roman" w:eastAsia="Times New Roman" w:hAnsi="Times New Roman"/>
          <w:sz w:val="20"/>
          <w:szCs w:val="20"/>
        </w:rPr>
        <w:t xml:space="preserve">. 2019;(4):CD001846.</w:t>
      </w:r>
    </w:p>
    <w:p>
      <w:pPr>
        <w:spacing w:after="90" w:line="300"/>
      </w:pPr>
      <w:r>
        <w:rPr>
          <w:rFonts w:ascii="Times New Roman" w:cs="Times New Roman" w:eastAsia="Times New Roman" w:hAnsi="Times New Roman"/>
          <w:sz w:val="20"/>
          <w:szCs w:val="20"/>
        </w:rPr>
        <w:t xml:space="preserve">6. Rickels K, Pollack MH, Feltner DE, et al. Pregabalin for treatment of generalized anxiety disorder: a 4-week, multicenter, double-blind, placebo-controlled trial of pregabalin and alprazolam. </w:t>
      </w:r>
      <w:r>
        <w:rPr>
          <w:rFonts w:ascii="Times New Roman" w:cs="Times New Roman" w:eastAsia="Times New Roman" w:hAnsi="Times New Roman"/>
          <w:sz w:val="20"/>
          <w:szCs w:val="20"/>
          <w:i/>
          <w:iCs/>
        </w:rPr>
        <w:t xml:space="preserve">Arch Gen Psychiatry</w:t>
      </w:r>
      <w:r>
        <w:rPr>
          <w:rFonts w:ascii="Times New Roman" w:cs="Times New Roman" w:eastAsia="Times New Roman" w:hAnsi="Times New Roman"/>
          <w:sz w:val="20"/>
          <w:szCs w:val="20"/>
        </w:rPr>
        <w:t xml:space="preserve">. 2005;62(9):1022-1030.</w:t>
      </w:r>
    </w:p>
    <w:p>
      <w:pPr>
        <w:spacing w:after="90" w:line="300"/>
      </w:pPr>
      <w:r>
        <w:rPr>
          <w:rFonts w:ascii="Times New Roman" w:cs="Times New Roman" w:eastAsia="Times New Roman" w:hAnsi="Times New Roman"/>
          <w:sz w:val="20"/>
          <w:szCs w:val="20"/>
        </w:rPr>
        <w:t xml:space="preserve">7. Higgins JPT, Thomas J, Chandler J, et al, eds. </w:t>
      </w:r>
      <w:r>
        <w:rPr>
          <w:rFonts w:ascii="Times New Roman" w:cs="Times New Roman" w:eastAsia="Times New Roman" w:hAnsi="Times New Roman"/>
          <w:sz w:val="20"/>
          <w:szCs w:val="20"/>
          <w:i/>
          <w:iCs/>
        </w:rPr>
        <w:t xml:space="preserve">Cochrane Handbook for Systematic Reviews of Interventions</w:t>
      </w:r>
      <w:r>
        <w:rPr>
          <w:rFonts w:ascii="Times New Roman" w:cs="Times New Roman" w:eastAsia="Times New Roman" w:hAnsi="Times New Roman"/>
          <w:sz w:val="20"/>
          <w:szCs w:val="20"/>
        </w:rPr>
        <w:t xml:space="preserve">. Version 6.4. Cochrane; 2023.</w:t>
      </w:r>
    </w:p>
    <w:p>
      <w:pPr>
        <w:spacing w:after="90" w:line="300"/>
      </w:pPr>
      <w:r>
        <w:rPr>
          <w:rFonts w:ascii="Times New Roman" w:cs="Times New Roman" w:eastAsia="Times New Roman" w:hAnsi="Times New Roman"/>
          <w:sz w:val="20"/>
          <w:szCs w:val="20"/>
        </w:rPr>
        <w:t xml:space="preserve">8. Pustejovsky JE, Tipton E. Meta-analysis with robust variance estimation: expanding the range of working models. </w:t>
      </w:r>
      <w:r>
        <w:rPr>
          <w:rFonts w:ascii="Times New Roman" w:cs="Times New Roman" w:eastAsia="Times New Roman" w:hAnsi="Times New Roman"/>
          <w:sz w:val="20"/>
          <w:szCs w:val="20"/>
          <w:i/>
          <w:iCs/>
        </w:rPr>
        <w:t xml:space="preserve">Prev Sci</w:t>
      </w:r>
      <w:r>
        <w:rPr>
          <w:rFonts w:ascii="Times New Roman" w:cs="Times New Roman" w:eastAsia="Times New Roman" w:hAnsi="Times New Roman"/>
          <w:sz w:val="20"/>
          <w:szCs w:val="20"/>
        </w:rPr>
        <w:t xml:space="preserve">. 2022;23(3):425-438.</w:t>
      </w:r>
    </w:p>
    <w:p>
      <w:pPr>
        <w:spacing w:after="90" w:line="300"/>
      </w:pPr>
      <w:r>
        <w:rPr>
          <w:rFonts w:ascii="Times New Roman" w:cs="Times New Roman" w:eastAsia="Times New Roman" w:hAnsi="Times New Roman"/>
          <w:sz w:val="20"/>
          <w:szCs w:val="20"/>
        </w:rPr>
        <w:t xml:space="preserve">9. Kamoi R, Zhang Y, Zhang N, Han J, Zhang R. When can LLMs actually correct their own mistakes? A critical survey of self-correction of LLMs. </w:t>
      </w:r>
      <w:r>
        <w:rPr>
          <w:rFonts w:ascii="Times New Roman" w:cs="Times New Roman" w:eastAsia="Times New Roman" w:hAnsi="Times New Roman"/>
          <w:sz w:val="20"/>
          <w:szCs w:val="20"/>
          <w:i/>
          <w:iCs/>
        </w:rPr>
        <w:t xml:space="preserve">Trans Assoc Comput Linguist</w:t>
      </w:r>
      <w:r>
        <w:rPr>
          <w:rFonts w:ascii="Times New Roman" w:cs="Times New Roman" w:eastAsia="Times New Roman" w:hAnsi="Times New Roman"/>
          <w:sz w:val="20"/>
          <w:szCs w:val="20"/>
        </w:rPr>
        <w:t xml:space="preserve">. 2024;12:1417-1440.</w:t>
      </w:r>
    </w:p>
    <w:p>
      <w:pPr>
        <w:spacing w:after="90" w:line="300"/>
      </w:pPr>
      <w:r>
        <w:rPr>
          <w:rFonts w:ascii="Times New Roman" w:cs="Times New Roman" w:eastAsia="Times New Roman" w:hAnsi="Times New Roman"/>
          <w:sz w:val="20"/>
          <w:szCs w:val="20"/>
        </w:rPr>
        <w:t xml:space="preserve">10. Huang J, Chen X, Mishra S, et al. Large language models cannot self-correct reasoning yet. Paper presented at: Twelfth International Conference on Learning Representations; May 7-11, 2024; Vienna, Austria.</w:t>
      </w:r>
    </w:p>
    <w:p>
      <w:pPr>
        <w:spacing w:after="90" w:line="300"/>
      </w:pPr>
      <w:r>
        <w:rPr>
          <w:rFonts w:ascii="Times New Roman" w:cs="Times New Roman" w:eastAsia="Times New Roman" w:hAnsi="Times New Roman"/>
          <w:sz w:val="20"/>
          <w:szCs w:val="20"/>
        </w:rPr>
        <w:t xml:space="preserve">11. Farotimi O, Dunn A, Van Lissa CJ, Polanin JR, Mavridis D, Pigott TD. Guidance for manuscript submissions testing the use of generative AI for systematic review and meta-analysis. </w:t>
      </w:r>
      <w:r>
        <w:rPr>
          <w:rFonts w:ascii="Times New Roman" w:cs="Times New Roman" w:eastAsia="Times New Roman" w:hAnsi="Times New Roman"/>
          <w:sz w:val="20"/>
          <w:szCs w:val="20"/>
          <w:i/>
          <w:iCs/>
        </w:rPr>
        <w:t xml:space="preserve">Res Synth Methods</w:t>
      </w:r>
      <w:r>
        <w:rPr>
          <w:rFonts w:ascii="Times New Roman" w:cs="Times New Roman" w:eastAsia="Times New Roman" w:hAnsi="Times New Roman"/>
          <w:sz w:val="20"/>
          <w:szCs w:val="20"/>
        </w:rPr>
        <w:t xml:space="preserve">. 2026;17(2):237-239. doi:10.1017/rsm.2025.10058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2026-09-22T22:17:51.441Z</dcterms:created>
  <dcterms:modified xsi:type="dcterms:W3CDTF">2026-09-22T22:17:51.443Z</dcterms:modified>
</cp:coreProperties>
</file>

<file path=docProps/custom.xml><?xml version="1.0" encoding="utf-8"?>
<Properties xmlns="http://schemas.openxmlformats.org/officeDocument/2006/custom-properties" xmlns:vt="http://schemas.openxmlformats.org/officeDocument/2006/docPropsVTypes"/>
</file>