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A0B" w:rsidRDefault="00E90A0B">
      <w:pPr>
        <w:rPr>
          <w:sz w:val="48"/>
          <w:szCs w:val="48"/>
        </w:rPr>
      </w:pPr>
      <w:r w:rsidRPr="00E90A0B">
        <w:rPr>
          <w:sz w:val="48"/>
          <w:szCs w:val="48"/>
        </w:rPr>
        <w:t xml:space="preserve">Ebara </w:t>
      </w:r>
      <w:r w:rsidR="006253E2">
        <w:rPr>
          <w:sz w:val="48"/>
          <w:szCs w:val="48"/>
        </w:rPr>
        <w:t>(</w:t>
      </w:r>
      <w:r w:rsidRPr="00E90A0B">
        <w:rPr>
          <w:sz w:val="48"/>
          <w:szCs w:val="48"/>
        </w:rPr>
        <w:t>Left</w:t>
      </w:r>
      <w:r w:rsidR="006253E2">
        <w:rPr>
          <w:sz w:val="48"/>
          <w:szCs w:val="48"/>
        </w:rPr>
        <w:t>)</w:t>
      </w:r>
    </w:p>
    <w:p w:rsidR="00E90A0B" w:rsidRDefault="00E90A0B" w:rsidP="00E90A0B">
      <w:r>
        <w:t>Chris Guarino Living Notes</w:t>
      </w:r>
    </w:p>
    <w:p w:rsidR="00E90A0B" w:rsidRDefault="00E90A0B" w:rsidP="00E90A0B">
      <w:r>
        <w:t>Operations Procedure</w:t>
      </w:r>
    </w:p>
    <w:p w:rsidR="00E90A0B" w:rsidRDefault="00E90A0B"/>
    <w:p w:rsidR="00E90A0B" w:rsidRDefault="00E90A0B" w:rsidP="00E90A0B">
      <w:r>
        <w:t xml:space="preserve">Pre-Flight Check List </w:t>
      </w:r>
    </w:p>
    <w:p w:rsidR="00E90A0B" w:rsidRDefault="00E90A0B" w:rsidP="00E90A0B">
      <w:pPr>
        <w:pStyle w:val="ListParagraph"/>
        <w:numPr>
          <w:ilvl w:val="0"/>
          <w:numId w:val="2"/>
        </w:numPr>
      </w:pPr>
      <w:r>
        <w:t xml:space="preserve">Do you have proper slurry? </w:t>
      </w:r>
    </w:p>
    <w:p w:rsidR="00E90A0B" w:rsidRDefault="00E90A0B" w:rsidP="00E90A0B">
      <w:pPr>
        <w:pStyle w:val="ListParagraph"/>
        <w:numPr>
          <w:ilvl w:val="0"/>
          <w:numId w:val="2"/>
        </w:numPr>
      </w:pPr>
      <w:r>
        <w:t xml:space="preserve">Do you have enough slurry? </w:t>
      </w:r>
    </w:p>
    <w:p w:rsidR="00E90A0B" w:rsidRDefault="00E90A0B" w:rsidP="00E90A0B">
      <w:pPr>
        <w:pStyle w:val="ListParagraph"/>
        <w:numPr>
          <w:ilvl w:val="1"/>
          <w:numId w:val="2"/>
        </w:numPr>
      </w:pPr>
      <w:r>
        <w:t xml:space="preserve">*Remember flow rate is 200ml/min. </w:t>
      </w:r>
    </w:p>
    <w:p w:rsidR="00D645F7" w:rsidRDefault="00D645F7" w:rsidP="00D645F7">
      <w:pPr>
        <w:pStyle w:val="ListParagraph"/>
        <w:numPr>
          <w:ilvl w:val="0"/>
          <w:numId w:val="2"/>
        </w:numPr>
      </w:pPr>
      <w:r>
        <w:t>Do you have enough cleaning solution (JDX)?</w:t>
      </w:r>
    </w:p>
    <w:p w:rsidR="00E90A0B" w:rsidRDefault="00E90A0B" w:rsidP="00E90A0B">
      <w:pPr>
        <w:pStyle w:val="ListParagraph"/>
        <w:numPr>
          <w:ilvl w:val="0"/>
          <w:numId w:val="2"/>
        </w:numPr>
      </w:pPr>
      <w:r>
        <w:t xml:space="preserve">How does the pad look? </w:t>
      </w:r>
    </w:p>
    <w:p w:rsidR="00E90A0B" w:rsidRDefault="00E90A0B" w:rsidP="00E90A0B">
      <w:pPr>
        <w:pStyle w:val="ListParagraph"/>
        <w:numPr>
          <w:ilvl w:val="1"/>
          <w:numId w:val="2"/>
        </w:numPr>
      </w:pPr>
      <w:r>
        <w:t xml:space="preserve">*How do the grooves look and what is the pad life? </w:t>
      </w:r>
    </w:p>
    <w:p w:rsidR="00E90A0B" w:rsidRDefault="00E90A0B"/>
    <w:p w:rsidR="00E90A0B" w:rsidRDefault="00E90A0B" w:rsidP="004971F6">
      <w:r>
        <w:t xml:space="preserve">Steps: </w:t>
      </w:r>
    </w:p>
    <w:p w:rsidR="004971F6" w:rsidRDefault="004971F6" w:rsidP="004971F6">
      <w:r>
        <w:t xml:space="preserve">On-Screen Operations </w:t>
      </w:r>
    </w:p>
    <w:p w:rsidR="00307971" w:rsidRDefault="0083767A" w:rsidP="00307971">
      <w:pPr>
        <w:pStyle w:val="ListParagraph"/>
        <w:numPr>
          <w:ilvl w:val="0"/>
          <w:numId w:val="5"/>
        </w:numPr>
      </w:pPr>
      <w:r>
        <w:t xml:space="preserve">Regular Operations </w:t>
      </w:r>
    </w:p>
    <w:p w:rsidR="00307971" w:rsidRDefault="0083767A" w:rsidP="00307971">
      <w:pPr>
        <w:pStyle w:val="ListParagraph"/>
        <w:numPr>
          <w:ilvl w:val="0"/>
          <w:numId w:val="5"/>
        </w:numPr>
      </w:pPr>
      <w:r>
        <w:t xml:space="preserve">Auto Operations Start </w:t>
      </w:r>
    </w:p>
    <w:p w:rsidR="0083767A" w:rsidRDefault="00191E56" w:rsidP="00307971">
      <w:pPr>
        <w:pStyle w:val="ListParagraph"/>
        <w:numPr>
          <w:ilvl w:val="0"/>
          <w:numId w:val="5"/>
        </w:numPr>
      </w:pPr>
      <w:r>
        <w:t xml:space="preserve">Be sure you have the correct Cassette selected before you enter any information. </w:t>
      </w:r>
    </w:p>
    <w:p w:rsidR="00191E56" w:rsidRDefault="00191E56" w:rsidP="00307971">
      <w:pPr>
        <w:pStyle w:val="ListParagraph"/>
        <w:numPr>
          <w:ilvl w:val="0"/>
          <w:numId w:val="5"/>
        </w:numPr>
      </w:pPr>
      <w:r>
        <w:t xml:space="preserve">Enter </w:t>
      </w:r>
      <w:r w:rsidR="004C2113">
        <w:t xml:space="preserve">you Warm Ups (WU) </w:t>
      </w:r>
    </w:p>
    <w:p w:rsidR="004C2113" w:rsidRDefault="004C2113" w:rsidP="004C2113">
      <w:pPr>
        <w:pStyle w:val="ListParagraph"/>
        <w:numPr>
          <w:ilvl w:val="1"/>
          <w:numId w:val="5"/>
        </w:numPr>
      </w:pPr>
      <w:r>
        <w:t xml:space="preserve">Two WU are needed the first time a slurry is being used that day or when you change slurry. </w:t>
      </w:r>
    </w:p>
    <w:p w:rsidR="004C2113" w:rsidRDefault="004C2113" w:rsidP="004C2113">
      <w:pPr>
        <w:pStyle w:val="ListParagraph"/>
        <w:numPr>
          <w:ilvl w:val="2"/>
          <w:numId w:val="5"/>
        </w:numPr>
      </w:pPr>
      <w:r>
        <w:t xml:space="preserve">Time for running WU is variable. It depends on the slurry being used and how long since the line (A, B, C) was last used. </w:t>
      </w:r>
    </w:p>
    <w:p w:rsidR="004C2113" w:rsidRDefault="004C2113" w:rsidP="004C2113">
      <w:pPr>
        <w:pStyle w:val="ListParagraph"/>
        <w:numPr>
          <w:ilvl w:val="2"/>
          <w:numId w:val="5"/>
        </w:numPr>
      </w:pPr>
      <w:r>
        <w:t>Typically for any of the Line A or C slurries you should run your WU for 60 seconds. This is due to there being in-line filter</w:t>
      </w:r>
      <w:r w:rsidR="00DC3C76">
        <w:t>s</w:t>
      </w:r>
      <w:r>
        <w:t xml:space="preserve"> for those lines. This means that the filters need to purge</w:t>
      </w:r>
      <w:r w:rsidR="00DC3C76">
        <w:t xml:space="preserve"> (old slurry)</w:t>
      </w:r>
      <w:r>
        <w:t xml:space="preserve"> </w:t>
      </w:r>
      <w:r w:rsidR="00DC3C76">
        <w:t xml:space="preserve">and flood (new slurry) their chamber before you can assume that the correct slurry is being distributed. </w:t>
      </w:r>
    </w:p>
    <w:p w:rsidR="00DC3C76" w:rsidRDefault="00DC3C76" w:rsidP="004C2113">
      <w:pPr>
        <w:pStyle w:val="ListParagraph"/>
        <w:numPr>
          <w:ilvl w:val="2"/>
          <w:numId w:val="5"/>
        </w:numPr>
      </w:pPr>
      <w:r>
        <w:t xml:space="preserve">For Line B slurries 30 seconds is </w:t>
      </w:r>
      <w:proofErr w:type="gramStart"/>
      <w:r>
        <w:t>sufficient</w:t>
      </w:r>
      <w:proofErr w:type="gramEnd"/>
      <w:r>
        <w:t xml:space="preserve"> run time for a WU. </w:t>
      </w:r>
    </w:p>
    <w:p w:rsidR="00D645F7" w:rsidRDefault="00D645F7" w:rsidP="00D645F7">
      <w:pPr>
        <w:pStyle w:val="ListParagraph"/>
        <w:numPr>
          <w:ilvl w:val="1"/>
          <w:numId w:val="5"/>
        </w:numPr>
      </w:pPr>
      <w:r>
        <w:t xml:space="preserve">One WU is needed if there has been over 15 minutes since your last Lot run. </w:t>
      </w:r>
    </w:p>
    <w:p w:rsidR="00DC3C76" w:rsidRDefault="00D645F7" w:rsidP="00DC3C76">
      <w:pPr>
        <w:pStyle w:val="ListParagraph"/>
        <w:numPr>
          <w:ilvl w:val="0"/>
          <w:numId w:val="5"/>
        </w:numPr>
      </w:pPr>
      <w:r>
        <w:t xml:space="preserve">Now enter your run information for the product wafers. </w:t>
      </w:r>
    </w:p>
    <w:p w:rsidR="00D645F7" w:rsidRDefault="00D645F7" w:rsidP="00D645F7">
      <w:pPr>
        <w:pStyle w:val="ListParagraph"/>
        <w:numPr>
          <w:ilvl w:val="1"/>
          <w:numId w:val="5"/>
        </w:numPr>
      </w:pPr>
      <w:r>
        <w:t xml:space="preserve">Enter Name of the Lot followed by the wafers being run. </w:t>
      </w:r>
    </w:p>
    <w:p w:rsidR="00D645F7" w:rsidRDefault="00D645F7" w:rsidP="00D645F7">
      <w:pPr>
        <w:pStyle w:val="ListParagraph"/>
        <w:numPr>
          <w:ilvl w:val="2"/>
          <w:numId w:val="5"/>
        </w:numPr>
      </w:pPr>
      <w:r>
        <w:t>Ex: MRHFC137 W3-17 ODD</w:t>
      </w:r>
    </w:p>
    <w:p w:rsidR="00D645F7" w:rsidRDefault="00D645F7" w:rsidP="00D645F7">
      <w:pPr>
        <w:pStyle w:val="ListParagraph"/>
        <w:numPr>
          <w:ilvl w:val="1"/>
          <w:numId w:val="5"/>
        </w:numPr>
      </w:pPr>
      <w:r>
        <w:t xml:space="preserve">Enter the number of wafers to be run. </w:t>
      </w:r>
    </w:p>
    <w:p w:rsidR="00D645F7" w:rsidRDefault="00D645F7" w:rsidP="00D645F7">
      <w:pPr>
        <w:pStyle w:val="ListParagraph"/>
        <w:numPr>
          <w:ilvl w:val="1"/>
          <w:numId w:val="5"/>
        </w:numPr>
      </w:pPr>
      <w:r>
        <w:t xml:space="preserve">Select the proper recipe. </w:t>
      </w:r>
    </w:p>
    <w:p w:rsidR="00D645F7" w:rsidRDefault="00D645F7" w:rsidP="00D645F7">
      <w:pPr>
        <w:pStyle w:val="ListParagraph"/>
        <w:numPr>
          <w:ilvl w:val="1"/>
          <w:numId w:val="5"/>
        </w:numPr>
      </w:pPr>
      <w:r>
        <w:t xml:space="preserve">Ensure that the correct run time is set for the correct Step #. </w:t>
      </w:r>
    </w:p>
    <w:p w:rsidR="00D645F7" w:rsidRDefault="00D645F7" w:rsidP="00D645F7">
      <w:pPr>
        <w:pStyle w:val="ListParagraph"/>
        <w:numPr>
          <w:ilvl w:val="0"/>
          <w:numId w:val="5"/>
        </w:numPr>
      </w:pPr>
      <w:r>
        <w:t xml:space="preserve">START </w:t>
      </w:r>
    </w:p>
    <w:p w:rsidR="00D645F7" w:rsidRDefault="00D645F7" w:rsidP="00D645F7">
      <w:pPr>
        <w:pStyle w:val="ListParagraph"/>
        <w:numPr>
          <w:ilvl w:val="0"/>
          <w:numId w:val="5"/>
        </w:numPr>
      </w:pPr>
      <w:r>
        <w:t>Start Command</w:t>
      </w:r>
    </w:p>
    <w:p w:rsidR="00D645F7" w:rsidRDefault="00D645F7" w:rsidP="00D645F7">
      <w:pPr>
        <w:pStyle w:val="ListParagraph"/>
        <w:numPr>
          <w:ilvl w:val="1"/>
          <w:numId w:val="5"/>
        </w:numPr>
      </w:pPr>
      <w:r>
        <w:t xml:space="preserve">It is a good habit to refence the Start Command after initiating a run. This is </w:t>
      </w:r>
      <w:proofErr w:type="gramStart"/>
      <w:r>
        <w:t>give</w:t>
      </w:r>
      <w:proofErr w:type="gramEnd"/>
      <w:r>
        <w:t xml:space="preserve"> you one last chance to catch any mistakes you may have entered. </w:t>
      </w:r>
    </w:p>
    <w:p w:rsidR="00D645F7" w:rsidRDefault="00D645F7" w:rsidP="00D645F7">
      <w:pPr>
        <w:pStyle w:val="ListParagraph"/>
        <w:numPr>
          <w:ilvl w:val="0"/>
          <w:numId w:val="5"/>
        </w:numPr>
      </w:pPr>
      <w:r>
        <w:lastRenderedPageBreak/>
        <w:t xml:space="preserve">Unlock the screen so that all three Ebara panels can now be used. </w:t>
      </w:r>
    </w:p>
    <w:p w:rsidR="004C0CA1" w:rsidRDefault="004C0CA1" w:rsidP="00D645F7">
      <w:r>
        <w:t xml:space="preserve">Faulting </w:t>
      </w:r>
    </w:p>
    <w:p w:rsidR="004C0CA1" w:rsidRDefault="004C0CA1" w:rsidP="00D645F7">
      <w:r>
        <w:tab/>
        <w:t xml:space="preserve">The Ebara tool can fault in two different ways. </w:t>
      </w:r>
    </w:p>
    <w:p w:rsidR="0089637E" w:rsidRDefault="004C0CA1" w:rsidP="0089637E">
      <w:pPr>
        <w:ind w:left="1440"/>
      </w:pPr>
      <w:r>
        <w:t xml:space="preserve">Light Fault: occurs when the tool see that it is approaching a replacement or maintenance threshold for one of </w:t>
      </w:r>
      <w:proofErr w:type="gramStart"/>
      <w:r>
        <w:t>it’s</w:t>
      </w:r>
      <w:proofErr w:type="gramEnd"/>
      <w:r>
        <w:t xml:space="preserve"> components. These thresholds are determined by the manufacturer and can be edited by the user. </w:t>
      </w:r>
      <w:r w:rsidR="0089637E">
        <w:t>DO NOT change these thresholds.</w:t>
      </w:r>
    </w:p>
    <w:p w:rsidR="0089637E" w:rsidRDefault="0089637E" w:rsidP="0089637E">
      <w:pPr>
        <w:ind w:left="1440"/>
      </w:pPr>
      <w:proofErr w:type="gramStart"/>
      <w:r>
        <w:t>Heavy  Fault</w:t>
      </w:r>
      <w:proofErr w:type="gramEnd"/>
      <w:r>
        <w:t xml:space="preserve">: occurs when something crucial took place. These events can range from inter-mechanical communication confusion to a wafer breaking on the platen. </w:t>
      </w:r>
    </w:p>
    <w:p w:rsidR="004C0CA1" w:rsidRDefault="0089637E" w:rsidP="0089637E">
      <w:pPr>
        <w:ind w:left="1440"/>
      </w:pPr>
      <w:r>
        <w:t xml:space="preserve">*The Ebara logs where an issue has taken place. When a fault </w:t>
      </w:r>
      <w:proofErr w:type="gramStart"/>
      <w:r>
        <w:t>occurs</w:t>
      </w:r>
      <w:proofErr w:type="gramEnd"/>
      <w:r>
        <w:t xml:space="preserve"> you can look through the Fault History to help diagnose the causality of the event. </w:t>
      </w:r>
      <w:r w:rsidR="004C0CA1">
        <w:t xml:space="preserve"> </w:t>
      </w:r>
      <w:r>
        <w:tab/>
      </w:r>
    </w:p>
    <w:p w:rsidR="002A3722" w:rsidRDefault="002A3722" w:rsidP="0089637E">
      <w:pPr>
        <w:ind w:left="1440"/>
      </w:pPr>
      <w:r>
        <w:t xml:space="preserve">*To clear a fault, first press the “Busser Reset” button. This is </w:t>
      </w:r>
      <w:proofErr w:type="gramStart"/>
      <w:r>
        <w:t>end</w:t>
      </w:r>
      <w:proofErr w:type="gramEnd"/>
      <w:r>
        <w:t xml:space="preserve"> the alarm. Then press the “Fault Reset” button. A Fault History screen should appear. </w:t>
      </w:r>
    </w:p>
    <w:p w:rsidR="004C0CA1" w:rsidRDefault="00543947" w:rsidP="00D645F7">
      <w:r>
        <w:t>Qual</w:t>
      </w:r>
      <w:r w:rsidR="002B77C7">
        <w:t xml:space="preserve">ifying </w:t>
      </w:r>
    </w:p>
    <w:p w:rsidR="002B77C7" w:rsidRDefault="002B77C7" w:rsidP="002B77C7">
      <w:r>
        <w:tab/>
        <w:t xml:space="preserve">The Ebara is qualified for processing at the beginning of every week. Run a Pre-Measured HOX Monitor with </w:t>
      </w:r>
      <w:proofErr w:type="spellStart"/>
      <w:r>
        <w:t>CuC</w:t>
      </w:r>
      <w:proofErr w:type="spellEnd"/>
      <w:r>
        <w:t xml:space="preserve"> for 60 seconds. A post measurement will give us a rate. That rate needs to be within spec to qualify the tool for processing. </w:t>
      </w:r>
      <w:r w:rsidR="00CB1B15">
        <w:t xml:space="preserve">Post Measurement will be on the UV tool. </w:t>
      </w:r>
    </w:p>
    <w:p w:rsidR="002B77C7" w:rsidRDefault="002B77C7" w:rsidP="002B77C7">
      <w:r>
        <w:t xml:space="preserve">*We also need to qualify the tool after every pad, dresser, head </w:t>
      </w:r>
      <w:proofErr w:type="gramStart"/>
      <w:r>
        <w:t>change.*</w:t>
      </w:r>
      <w:proofErr w:type="gramEnd"/>
      <w:r>
        <w:t xml:space="preserve"> </w:t>
      </w:r>
    </w:p>
    <w:p w:rsidR="009B7F5D" w:rsidRDefault="009B7F5D" w:rsidP="009B7F5D">
      <w:pPr>
        <w:spacing w:before="12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Run: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40"/>
        <w:gridCol w:w="1080"/>
        <w:gridCol w:w="720"/>
        <w:gridCol w:w="1081"/>
        <w:gridCol w:w="1260"/>
      </w:tblGrid>
      <w:tr w:rsidR="009B7F5D" w:rsidTr="00164A8E">
        <w:tc>
          <w:tcPr>
            <w:tcW w:w="2515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Wafer Type</w:t>
            </w:r>
          </w:p>
        </w:tc>
        <w:tc>
          <w:tcPr>
            <w:tcW w:w="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</w:p>
        </w:tc>
        <w:tc>
          <w:tcPr>
            <w:tcW w:w="108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Recipe</w:t>
            </w:r>
          </w:p>
        </w:tc>
        <w:tc>
          <w:tcPr>
            <w:tcW w:w="72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Step</w:t>
            </w:r>
          </w:p>
        </w:tc>
        <w:tc>
          <w:tcPr>
            <w:tcW w:w="1081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Time(sec)</w:t>
            </w:r>
          </w:p>
        </w:tc>
        <w:tc>
          <w:tcPr>
            <w:tcW w:w="1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Slurry</w:t>
            </w:r>
          </w:p>
        </w:tc>
      </w:tr>
      <w:tr w:rsidR="009B7F5D" w:rsidTr="00164A8E">
        <w:tc>
          <w:tcPr>
            <w:tcW w:w="2515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Break-In</w:t>
            </w:r>
          </w:p>
        </w:tc>
        <w:tc>
          <w:tcPr>
            <w:tcW w:w="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8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402</w:t>
            </w:r>
          </w:p>
        </w:tc>
        <w:tc>
          <w:tcPr>
            <w:tcW w:w="72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1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CSL</w:t>
            </w:r>
          </w:p>
        </w:tc>
      </w:tr>
      <w:tr w:rsidR="009B7F5D" w:rsidTr="00164A8E">
        <w:tc>
          <w:tcPr>
            <w:tcW w:w="2515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Seasoning</w:t>
            </w:r>
          </w:p>
        </w:tc>
        <w:tc>
          <w:tcPr>
            <w:tcW w:w="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08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403</w:t>
            </w:r>
          </w:p>
        </w:tc>
        <w:tc>
          <w:tcPr>
            <w:tcW w:w="72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1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CSL</w:t>
            </w:r>
          </w:p>
        </w:tc>
      </w:tr>
      <w:tr w:rsidR="009B7F5D" w:rsidTr="00164A8E">
        <w:tc>
          <w:tcPr>
            <w:tcW w:w="2515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M2</w:t>
            </w:r>
          </w:p>
        </w:tc>
        <w:tc>
          <w:tcPr>
            <w:tcW w:w="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370</w:t>
            </w:r>
          </w:p>
        </w:tc>
        <w:tc>
          <w:tcPr>
            <w:tcW w:w="72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1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  <w:tc>
          <w:tcPr>
            <w:tcW w:w="1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CSL</w:t>
            </w:r>
          </w:p>
        </w:tc>
      </w:tr>
      <w:tr w:rsidR="009B7F5D" w:rsidTr="00164A8E">
        <w:tc>
          <w:tcPr>
            <w:tcW w:w="2515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CUB</w:t>
            </w:r>
          </w:p>
        </w:tc>
        <w:tc>
          <w:tcPr>
            <w:tcW w:w="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370</w:t>
            </w:r>
          </w:p>
        </w:tc>
        <w:tc>
          <w:tcPr>
            <w:tcW w:w="72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1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CSL</w:t>
            </w:r>
          </w:p>
        </w:tc>
      </w:tr>
      <w:tr w:rsidR="009B7F5D" w:rsidTr="00164A8E">
        <w:tc>
          <w:tcPr>
            <w:tcW w:w="2515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Warm Up (Slurry Change)</w:t>
            </w:r>
          </w:p>
        </w:tc>
        <w:tc>
          <w:tcPr>
            <w:tcW w:w="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8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371</w:t>
            </w:r>
          </w:p>
        </w:tc>
        <w:tc>
          <w:tcPr>
            <w:tcW w:w="72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1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CuC</w:t>
            </w:r>
            <w:proofErr w:type="spellEnd"/>
          </w:p>
        </w:tc>
      </w:tr>
      <w:tr w:rsidR="009B7F5D" w:rsidTr="00164A8E">
        <w:tc>
          <w:tcPr>
            <w:tcW w:w="2515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HOX</w:t>
            </w:r>
          </w:p>
        </w:tc>
        <w:tc>
          <w:tcPr>
            <w:tcW w:w="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371</w:t>
            </w:r>
          </w:p>
        </w:tc>
        <w:tc>
          <w:tcPr>
            <w:tcW w:w="72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1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260" w:type="dxa"/>
          </w:tcPr>
          <w:p w:rsidR="009B7F5D" w:rsidRDefault="009B7F5D" w:rsidP="00164A8E">
            <w:pPr>
              <w:spacing w:before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CuC</w:t>
            </w:r>
            <w:proofErr w:type="spellEnd"/>
          </w:p>
        </w:tc>
      </w:tr>
    </w:tbl>
    <w:p w:rsidR="009B7F5D" w:rsidRDefault="009B7F5D" w:rsidP="002B77C7"/>
    <w:p w:rsidR="00D645F7" w:rsidRDefault="00D645F7" w:rsidP="00D645F7">
      <w:r>
        <w:t xml:space="preserve">Slurries </w:t>
      </w:r>
    </w:p>
    <w:p w:rsidR="00D645F7" w:rsidRDefault="00D645F7" w:rsidP="00D645F7">
      <w:r>
        <w:tab/>
        <w:t xml:space="preserve">There are </w:t>
      </w:r>
      <w:r w:rsidR="002A1D42">
        <w:t>10</w:t>
      </w:r>
      <w:r w:rsidR="00DF3294">
        <w:t xml:space="preserve"> </w:t>
      </w:r>
      <w:r w:rsidR="002A1D42">
        <w:t xml:space="preserve">common slurries used on the Left side of the Ebara. </w:t>
      </w:r>
    </w:p>
    <w:p w:rsidR="00067CF8" w:rsidRDefault="00067CF8" w:rsidP="00D645F7">
      <w:r>
        <w:tab/>
      </w:r>
      <w:r>
        <w:tab/>
        <w:t>GET RATES &amp; USES!!!</w:t>
      </w:r>
    </w:p>
    <w:p w:rsidR="00067CF8" w:rsidRDefault="002A1D42" w:rsidP="00067CF8">
      <w:pPr>
        <w:pStyle w:val="ListParagraph"/>
        <w:numPr>
          <w:ilvl w:val="0"/>
          <w:numId w:val="6"/>
        </w:numPr>
      </w:pPr>
      <w:r>
        <w:t>CSL 9044</w:t>
      </w:r>
      <w:proofErr w:type="gramStart"/>
      <w:r>
        <w:t>C :</w:t>
      </w:r>
      <w:proofErr w:type="gramEnd"/>
      <w:r>
        <w:t xml:space="preserve"> This is only used for Copper polishing.</w:t>
      </w:r>
      <w:r w:rsidR="00067CF8">
        <w:t xml:space="preserve"> </w:t>
      </w:r>
    </w:p>
    <w:p w:rsidR="002A1D42" w:rsidRDefault="002A1D42" w:rsidP="002A1D42">
      <w:pPr>
        <w:pStyle w:val="ListParagraph"/>
        <w:numPr>
          <w:ilvl w:val="0"/>
          <w:numId w:val="6"/>
        </w:numPr>
      </w:pPr>
      <w:proofErr w:type="spellStart"/>
      <w:r>
        <w:t>CuC</w:t>
      </w:r>
      <w:proofErr w:type="spellEnd"/>
      <w:r>
        <w:t xml:space="preserve"> (Ta33</w:t>
      </w:r>
      <w:proofErr w:type="gramStart"/>
      <w:r>
        <w:t>) :</w:t>
      </w:r>
      <w:proofErr w:type="gramEnd"/>
      <w:r>
        <w:t xml:space="preserve"> </w:t>
      </w:r>
      <w:r w:rsidR="00067CF8">
        <w:t>Liner Polish (Full Concentration)</w:t>
      </w:r>
      <w:r w:rsidR="00067CF8">
        <w:tab/>
      </w:r>
      <w:r w:rsidR="00067CF8">
        <w:tab/>
      </w:r>
    </w:p>
    <w:p w:rsidR="002A1D42" w:rsidRDefault="002A1D42" w:rsidP="002A1D42">
      <w:pPr>
        <w:pStyle w:val="ListParagraph"/>
        <w:numPr>
          <w:ilvl w:val="0"/>
          <w:numId w:val="6"/>
        </w:numPr>
      </w:pPr>
      <w:r>
        <w:t>v2 Ta</w:t>
      </w:r>
      <w:proofErr w:type="gramStart"/>
      <w:r>
        <w:t xml:space="preserve">33 </w:t>
      </w:r>
      <w:r w:rsidR="008B66BF">
        <w:t>:</w:t>
      </w:r>
      <w:proofErr w:type="gramEnd"/>
      <w:r w:rsidR="00067CF8">
        <w:t xml:space="preserve"> Liner Polish </w:t>
      </w:r>
    </w:p>
    <w:p w:rsidR="002A1D42" w:rsidRDefault="002A1D42" w:rsidP="002A1D42">
      <w:pPr>
        <w:pStyle w:val="ListParagraph"/>
        <w:numPr>
          <w:ilvl w:val="0"/>
          <w:numId w:val="6"/>
        </w:numPr>
      </w:pPr>
      <w:r>
        <w:t>Low Rate Ta</w:t>
      </w:r>
      <w:proofErr w:type="gramStart"/>
      <w:r>
        <w:t xml:space="preserve">33 </w:t>
      </w:r>
      <w:r w:rsidR="008B66BF">
        <w:t>:</w:t>
      </w:r>
      <w:proofErr w:type="gramEnd"/>
      <w:r>
        <w:t xml:space="preserve"> </w:t>
      </w:r>
      <w:r w:rsidR="00067CF8">
        <w:t>Liner Polish</w:t>
      </w:r>
    </w:p>
    <w:p w:rsidR="002A1D42" w:rsidRDefault="002A1D42" w:rsidP="002A1D42">
      <w:pPr>
        <w:pStyle w:val="ListParagraph"/>
        <w:numPr>
          <w:ilvl w:val="0"/>
          <w:numId w:val="6"/>
        </w:numPr>
      </w:pPr>
      <w:r>
        <w:lastRenderedPageBreak/>
        <w:t>v4 Ta</w:t>
      </w:r>
      <w:proofErr w:type="gramStart"/>
      <w:r>
        <w:t xml:space="preserve">33 </w:t>
      </w:r>
      <w:r w:rsidR="008B66BF">
        <w:t>:</w:t>
      </w:r>
      <w:proofErr w:type="gramEnd"/>
      <w:r w:rsidR="00067CF8">
        <w:t xml:space="preserve"> Liner Polish (Least aggressive formulation.)</w:t>
      </w:r>
    </w:p>
    <w:p w:rsidR="002A1D42" w:rsidRDefault="002A1D42" w:rsidP="002A1D42">
      <w:pPr>
        <w:pStyle w:val="ListParagraph"/>
        <w:numPr>
          <w:ilvl w:val="0"/>
          <w:numId w:val="6"/>
        </w:numPr>
      </w:pPr>
      <w:r>
        <w:t xml:space="preserve">RDB </w:t>
      </w:r>
      <w:proofErr w:type="gramStart"/>
      <w:r>
        <w:t xml:space="preserve">1001 </w:t>
      </w:r>
      <w:r w:rsidR="008B66BF">
        <w:t>:</w:t>
      </w:r>
      <w:proofErr w:type="gramEnd"/>
      <w:r>
        <w:t xml:space="preserve"> </w:t>
      </w:r>
    </w:p>
    <w:p w:rsidR="002A1D42" w:rsidRDefault="002A1D42" w:rsidP="002A1D42">
      <w:pPr>
        <w:pStyle w:val="ListParagraph"/>
        <w:numPr>
          <w:ilvl w:val="0"/>
          <w:numId w:val="6"/>
        </w:numPr>
      </w:pPr>
      <w:r>
        <w:t xml:space="preserve">RDB </w:t>
      </w:r>
      <w:proofErr w:type="gramStart"/>
      <w:r>
        <w:t xml:space="preserve">1002 </w:t>
      </w:r>
      <w:r w:rsidR="008B66BF">
        <w:t>:</w:t>
      </w:r>
      <w:proofErr w:type="gramEnd"/>
    </w:p>
    <w:p w:rsidR="002A1D42" w:rsidRDefault="002A1D42" w:rsidP="002A1D42">
      <w:pPr>
        <w:pStyle w:val="ListParagraph"/>
        <w:numPr>
          <w:ilvl w:val="0"/>
          <w:numId w:val="6"/>
        </w:numPr>
      </w:pPr>
      <w:r>
        <w:t xml:space="preserve">6:1 </w:t>
      </w:r>
      <w:proofErr w:type="gramStart"/>
      <w:r>
        <w:t xml:space="preserve">Ceria </w:t>
      </w:r>
      <w:r w:rsidR="008B66BF">
        <w:t>:</w:t>
      </w:r>
      <w:proofErr w:type="gramEnd"/>
    </w:p>
    <w:p w:rsidR="002A1D42" w:rsidRDefault="002A1D42" w:rsidP="002A1D42">
      <w:pPr>
        <w:pStyle w:val="ListParagraph"/>
        <w:numPr>
          <w:ilvl w:val="0"/>
          <w:numId w:val="6"/>
        </w:numPr>
      </w:pPr>
      <w:r>
        <w:t>D</w:t>
      </w:r>
      <w:proofErr w:type="gramStart"/>
      <w:r>
        <w:t xml:space="preserve">112 </w:t>
      </w:r>
      <w:r w:rsidR="008B66BF">
        <w:t>:</w:t>
      </w:r>
      <w:proofErr w:type="gramEnd"/>
    </w:p>
    <w:p w:rsidR="002A1D42" w:rsidRDefault="002A1D42" w:rsidP="002A1D42">
      <w:pPr>
        <w:pStyle w:val="ListParagraph"/>
        <w:numPr>
          <w:ilvl w:val="0"/>
          <w:numId w:val="6"/>
        </w:numPr>
      </w:pPr>
      <w:proofErr w:type="gramStart"/>
      <w:r>
        <w:t xml:space="preserve">Nalco </w:t>
      </w:r>
      <w:r w:rsidR="008B66BF">
        <w:t>:</w:t>
      </w:r>
      <w:proofErr w:type="gramEnd"/>
      <w:r>
        <w:t xml:space="preserve"> </w:t>
      </w:r>
    </w:p>
    <w:p w:rsidR="004971F6" w:rsidRDefault="004971F6" w:rsidP="004971F6"/>
    <w:p w:rsidR="004971F6" w:rsidRDefault="004971F6" w:rsidP="004971F6">
      <w:r>
        <w:t xml:space="preserve">Notes: </w:t>
      </w:r>
    </w:p>
    <w:p w:rsidR="004971F6" w:rsidRDefault="004971F6" w:rsidP="004971F6">
      <w:r>
        <w:t xml:space="preserve">1/8/19 </w:t>
      </w:r>
      <w:r>
        <w:tab/>
      </w:r>
    </w:p>
    <w:p w:rsidR="004971F6" w:rsidRDefault="004971F6" w:rsidP="004971F6">
      <w:pPr>
        <w:pStyle w:val="ListParagraph"/>
        <w:numPr>
          <w:ilvl w:val="0"/>
          <w:numId w:val="2"/>
        </w:numPr>
      </w:pPr>
      <w:r>
        <w:t>After changing pad follow</w:t>
      </w:r>
      <w:r w:rsidR="005C05E2">
        <w:t xml:space="preserve"> pad changing procedures. </w:t>
      </w:r>
    </w:p>
    <w:p w:rsidR="005C05E2" w:rsidRDefault="005C05E2" w:rsidP="004971F6">
      <w:pPr>
        <w:pStyle w:val="ListParagraph"/>
        <w:numPr>
          <w:ilvl w:val="0"/>
          <w:numId w:val="2"/>
        </w:numPr>
      </w:pPr>
      <w:r>
        <w:t xml:space="preserve">You CAN touch wafers to be polished. After final polish you must use the vacuum wand. </w:t>
      </w:r>
    </w:p>
    <w:p w:rsidR="00220E14" w:rsidRDefault="005C05E2" w:rsidP="00220E14">
      <w:pPr>
        <w:pStyle w:val="ListParagraph"/>
        <w:numPr>
          <w:ilvl w:val="0"/>
          <w:numId w:val="2"/>
        </w:numPr>
      </w:pPr>
      <w:r>
        <w:t xml:space="preserve">Inspect FRONT, MIDDLE, and BACK in Scope. </w:t>
      </w:r>
    </w:p>
    <w:p w:rsidR="006253E2" w:rsidRDefault="006253E2" w:rsidP="004971F6">
      <w:pPr>
        <w:pStyle w:val="ListParagraph"/>
        <w:numPr>
          <w:ilvl w:val="0"/>
          <w:numId w:val="2"/>
        </w:numPr>
      </w:pPr>
      <w:r>
        <w:t xml:space="preserve">Drain Flushes are done every Friday on both the Left and Right side of the Ebara. </w:t>
      </w:r>
    </w:p>
    <w:p w:rsidR="00E90A0B" w:rsidRPr="00E90A0B" w:rsidRDefault="00E90A0B"/>
    <w:sectPr w:rsidR="00E90A0B" w:rsidRPr="00E9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1723B"/>
    <w:multiLevelType w:val="hybridMultilevel"/>
    <w:tmpl w:val="2ECEF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6208"/>
    <w:multiLevelType w:val="hybridMultilevel"/>
    <w:tmpl w:val="9C50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F6C55"/>
    <w:multiLevelType w:val="hybridMultilevel"/>
    <w:tmpl w:val="EA9E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A0524"/>
    <w:multiLevelType w:val="hybridMultilevel"/>
    <w:tmpl w:val="A574E880"/>
    <w:lvl w:ilvl="0" w:tplc="C038C27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C902248"/>
    <w:multiLevelType w:val="hybridMultilevel"/>
    <w:tmpl w:val="2F26294E"/>
    <w:lvl w:ilvl="0" w:tplc="0A4A1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363B7"/>
    <w:multiLevelType w:val="hybridMultilevel"/>
    <w:tmpl w:val="981605F2"/>
    <w:lvl w:ilvl="0" w:tplc="658C3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0B"/>
    <w:rsid w:val="00067CF8"/>
    <w:rsid w:val="00191E56"/>
    <w:rsid w:val="00220E14"/>
    <w:rsid w:val="002A1D42"/>
    <w:rsid w:val="002A3722"/>
    <w:rsid w:val="002B77C7"/>
    <w:rsid w:val="002D3467"/>
    <w:rsid w:val="00307971"/>
    <w:rsid w:val="004971F6"/>
    <w:rsid w:val="004C0CA1"/>
    <w:rsid w:val="004C2113"/>
    <w:rsid w:val="00543947"/>
    <w:rsid w:val="005C05E2"/>
    <w:rsid w:val="006253E2"/>
    <w:rsid w:val="0083767A"/>
    <w:rsid w:val="0089637E"/>
    <w:rsid w:val="008B66BF"/>
    <w:rsid w:val="009B7F5D"/>
    <w:rsid w:val="00BB46DF"/>
    <w:rsid w:val="00C72811"/>
    <w:rsid w:val="00CB1B15"/>
    <w:rsid w:val="00D42B6F"/>
    <w:rsid w:val="00D645F7"/>
    <w:rsid w:val="00DC3C76"/>
    <w:rsid w:val="00DF3294"/>
    <w:rsid w:val="00E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3F9A"/>
  <w15:chartTrackingRefBased/>
  <w15:docId w15:val="{D33386B4-6B56-4B36-B9CA-47BD34CA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0B"/>
    <w:pPr>
      <w:ind w:left="720"/>
      <w:contextualSpacing/>
    </w:pPr>
  </w:style>
  <w:style w:type="table" w:styleId="TableGrid">
    <w:name w:val="Table Grid"/>
    <w:basedOn w:val="TableNormal"/>
    <w:uiPriority w:val="39"/>
    <w:rsid w:val="009B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</dc:creator>
  <cp:keywords/>
  <dc:description/>
  <cp:lastModifiedBy>Chris Guarino</cp:lastModifiedBy>
  <cp:revision>10</cp:revision>
  <dcterms:created xsi:type="dcterms:W3CDTF">2019-01-22T12:31:00Z</dcterms:created>
  <dcterms:modified xsi:type="dcterms:W3CDTF">2019-03-11T13:02:00Z</dcterms:modified>
</cp:coreProperties>
</file>