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vuymmf38dzhm" w:id="0"/>
      <w:bookmarkEnd w:id="0"/>
      <w:r w:rsidDel="00000000" w:rsidR="00000000" w:rsidRPr="00000000">
        <w:rPr>
          <w:rtl w:val="0"/>
        </w:rPr>
        <w:t xml:space="preserve">ANIME CASE STUDY CONCLUSIONS</w:t>
      </w:r>
    </w:p>
    <w:p w:rsidR="00000000" w:rsidDel="00000000" w:rsidP="00000000" w:rsidRDefault="00000000" w:rsidRPr="00000000" w14:paraId="0000000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Anime Distribution by Genre: I observed that the dataset contains anime spanning various genres such as Comedy, Supernatural, Sci-Fi, Adventure, Fantasy, and more. This indicates a diverse range of content available to anime enthusiasts.</w:t>
      </w:r>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Score Distribution: The scores of the anime range from 1.85 to 9.19, with an average score of approximately 6.51. This suggests that the majority of the anime in the dataset have a moderate to high rating.</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Airing Start Dates: While some anime have specific airing start dates recorded, others have null values or 'Unknown'. This could indicate missing or incomplete data for certain entries.</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Type of Anime: The dataset includes various types of anime, such as TV shows, OVA (Original Video Animation), and movies. This reflects the different formats in which anime content is produced and released.</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Trends Over Time: Analyzing the distribution of airing start dates across different years can reveal trends in anime production and popularity over time. However, this analysis would require a more detailed exploration of the temporal aspects of the data.</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Correlation Between Genre and Score: Further analysis can explore whether certain genres tend to receive higher scores compared to others. This could help identify popular genres among viewers and potentially influence content production decisions.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Impact of Type on Score: Investigating whether the type of anime (e.g., TV show, movie) correlates with the score could provide insights into audience preferences for different formats.</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Insights for Content Creators and Distributors: As a content creator and distributor, I can use the analysis to understand audience preferences, identify popular genres, and make informed decisions about content production, licensing, and marketing strategies.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Overall, the data provides valuable insights into the anime landscape, including genre preferences, audience ratings, and trends over time. Further analysis and visualization can offer deeper insights and actionable intelligence for stakeholders in the anime industry.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SQL QUERIES </w:t>
      </w:r>
    </w:p>
    <w:p w:rsidR="00000000" w:rsidDel="00000000" w:rsidP="00000000" w:rsidRDefault="00000000" w:rsidRPr="00000000" w14:paraId="0000000E">
      <w:pPr>
        <w:rPr/>
      </w:pPr>
      <w:r w:rsidDel="00000000" w:rsidR="00000000" w:rsidRPr="00000000">
        <w:rPr>
          <w:rFonts w:ascii="Roboto" w:cs="Roboto" w:eastAsia="Roboto" w:hAnsi="Roboto"/>
          <w:color w:val="ffffff"/>
          <w:sz w:val="20"/>
          <w:szCs w:val="20"/>
          <w:shd w:fill="212121" w:val="clear"/>
          <w:rtl w:val="0"/>
        </w:rPr>
        <w:t xml:space="preserve">"https://console.cloud.google.com/bigquery?sq=35271655562:be621827e34b471999b09eb699eeb675".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