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TECHNICAL DISCLOSURE DOCUMENT</w:t>
      </w:r>
    </w:p>
    <w:p>
      <w:pPr>
        <w:pBdr>
          <w:bottom w:val="single" w:color="1F4E79" w:sz="8" w:space="8"/>
        </w:pBdr>
        <w:spacing w:after="40"/>
        <w:jc w:val="center"/>
      </w:pPr>
      <w:r>
        <w:rPr>
          <w:rFonts w:ascii="Arial" w:cs="Arial" w:eastAsia="Arial" w:hAnsi="Arial"/>
          <w:b/>
          <w:bCs/>
          <w:color w:val="2E75B6"/>
          <w:sz w:val="28"/>
          <w:szCs w:val="28"/>
        </w:rPr>
        <w:t xml:space="preserve">Quantum-Enhanced Voice Authentication and</w:t>
      </w:r>
    </w:p>
    <w:p>
      <w:pPr>
        <w:spacing w:after="40"/>
        <w:jc w:val="center"/>
      </w:pPr>
      <w:r>
        <w:rPr>
          <w:rFonts w:ascii="Arial" w:cs="Arial" w:eastAsia="Arial" w:hAnsi="Arial"/>
          <w:b/>
          <w:bCs/>
          <w:color w:val="2E75B6"/>
          <w:sz w:val="28"/>
          <w:szCs w:val="28"/>
        </w:rPr>
        <w:t xml:space="preserve">Autonomous Action Governance System</w:t>
      </w:r>
    </w:p>
    <w:p>
      <w:pPr>
        <w:spacing w:after="40"/>
        <w:jc w:val="center"/>
      </w:pPr>
      <w:r>
        <w:rPr>
          <w:rFonts w:ascii="Arial" w:cs="Arial" w:eastAsia="Arial" w:hAnsi="Arial"/>
          <w:i/>
          <w:iCs/>
          <w:color w:val="404040"/>
          <w:sz w:val="24"/>
          <w:szCs w:val="24"/>
        </w:rPr>
        <w:t xml:space="preserve">Resolving Identity, Intent, and Execution Trust</w:t>
      </w:r>
    </w:p>
    <w:p>
      <w:pPr>
        <w:spacing w:after="80"/>
        <w:jc w:val="center"/>
      </w:pPr>
      <w:r>
        <w:rPr>
          <w:rFonts w:ascii="Arial" w:cs="Arial" w:eastAsia="Arial" w:hAnsi="Arial"/>
          <w:i/>
          <w:iCs/>
          <w:color w:val="404040"/>
          <w:sz w:val="24"/>
          <w:szCs w:val="24"/>
        </w:rPr>
        <w:t xml:space="preserve">for Voice-Commanded AI Automation Pipelines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TD-2026-VOX-QAB-001 (Rev. 2)</w:t>
            </w:r>
          </w:p>
        </w:tc>
      </w:tr>
      <w:tr>
        <w:tc>
          <w:tcPr>
            <w:tcW w:type="dxa" w:w="2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CONFIDENTIAL — Attorney-Client Work Product</w:t>
            </w:r>
          </w:p>
        </w:tc>
      </w:tr>
      <w:tr>
        <w:tc>
          <w:tcPr>
            <w:tcW w:type="dxa" w:w="2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Inventor(s):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[Christopher Hartline] — [Update with full legal name]</w:t>
            </w:r>
          </w:p>
        </w:tc>
      </w:tr>
      <w:tr>
        <w:tc>
          <w:tcPr>
            <w:tcW w:type="dxa" w:w="2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Date of Disclosure: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March 3, 2026</w:t>
            </w:r>
          </w:p>
        </w:tc>
      </w:tr>
      <w:tr>
        <w:tc>
          <w:tcPr>
            <w:tcW w:type="dxa" w:w="2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Revision: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 — Added Autonomous Action Governance (Sections 5.4, 5.5)</w:t>
            </w:r>
          </w:p>
        </w:tc>
      </w:tr>
      <w:tr>
        <w:tc>
          <w:tcPr>
            <w:tcW w:type="dxa" w:w="2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DRAFT — Pre-Filing Disclosure</w:t>
            </w:r>
          </w:p>
        </w:tc>
      </w:tr>
    </w:tbl>
    <w:p>
      <w:pPr>
        <w:spacing w:after="300"/>
      </w:pPr>
    </w:p>
    <w:p>
      <w:pPr>
        <w:pStyle w:val="Heading1"/>
      </w:pPr>
      <w:r>
        <w:rPr>
          <w:rFonts w:ascii="Arial" w:cs="Arial" w:eastAsia="Arial" w:hAnsi="Arial"/>
        </w:rPr>
        <w:t xml:space="preserve">1. Title of Invention</w:t>
      </w:r>
    </w:p>
    <w:p>
      <w:pPr>
        <w:spacing w:after="120"/>
      </w:pPr>
      <w:r>
        <w:rPr>
          <w:rFonts w:ascii="Arial" w:cs="Arial" w:eastAsia="Arial" w:hAnsi="Arial"/>
          <w:b w:val="false"/>
          <w:bCs w:val="false"/>
          <w:i w:val="false"/>
          <w:iCs w:val="false"/>
          <w:sz w:val="22"/>
          <w:szCs w:val="22"/>
        </w:rPr>
        <w:t xml:space="preserve">Quantum-Enhanced Voice Authentication and Autonomous Action Governance System with Blockchain-Verified Chain of Trust for Genetically Similar Speaker Discrimination and Bounded AI Execution Assurance</w:t>
      </w:r>
    </w:p>
    <w:p>
      <w:pPr>
        <w:pStyle w:val="Heading1"/>
      </w:pPr>
      <w:r>
        <w:rPr>
          <w:rFonts w:ascii="Arial" w:cs="Arial" w:eastAsia="Arial" w:hAnsi="Arial"/>
        </w:rPr>
        <w:t xml:space="preserve">2. Technical Field</w:t>
      </w:r>
    </w:p>
    <w:p>
      <w:pPr>
        <w:spacing w:after="120"/>
      </w:pPr>
      <w:r>
        <w:rPr>
          <w:rFonts w:ascii="Arial" w:cs="Arial" w:eastAsia="Arial" w:hAnsi="Arial"/>
          <w:b w:val="false"/>
          <w:bCs w:val="false"/>
          <w:i w:val="false"/>
          <w:iCs w:val="false"/>
          <w:sz w:val="22"/>
          <w:szCs w:val="22"/>
        </w:rPr>
        <w:t xml:space="preserve">This invention relates to biometric authentication systems and AI-governed automation pipelines. More particularly, the invention addresses the complete chain of trust from voice-based authentication, authorization, and accounting (AAA) through AI-planned and AI-executed deployment and infrastructure actions, leveraging quantum computing, artificial intelligence, and distributed ledger technology to ensure identity assurance (including discrimination between genetically identical speakers), intent fidelity, execution boundedness, and end-to-end auditability.</w:t>
      </w:r>
    </w:p>
    <w:p>
      <w:pPr>
        <w:pStyle w:val="Heading1"/>
      </w:pPr>
      <w:r>
        <w:rPr>
          <w:rFonts w:ascii="Arial" w:cs="Arial" w:eastAsia="Arial" w:hAnsi="Arial"/>
        </w:rPr>
        <w:t xml:space="preserve">3. Background and Problem Statement</w:t>
      </w:r>
    </w:p>
    <w:p>
      <w:pPr>
        <w:pStyle w:val="Heading2"/>
      </w:pPr>
      <w:r>
        <w:rPr>
          <w:rFonts w:ascii="Arial" w:cs="Arial" w:eastAsia="Arial" w:hAnsi="Arial"/>
        </w:rPr>
        <w:t xml:space="preserve">3.1 The Identical Twin Problem in Voice Biometrics</w:t>
      </w:r>
    </w:p>
    <w:p>
      <w:pPr>
        <w:spacing w:after="120"/>
      </w:pPr>
      <w:r>
        <w:rPr>
          <w:rFonts w:ascii="Arial" w:cs="Arial" w:eastAsia="Arial" w:hAnsi="Arial"/>
          <w:b w:val="false"/>
          <w:bCs w:val="false"/>
          <w:i w:val="false"/>
          <w:iCs w:val="false"/>
          <w:sz w:val="22"/>
          <w:szCs w:val="22"/>
        </w:rPr>
        <w:t xml:space="preserve">Conventional voice authentication systems rely on spectral features derived from the physical characteristics of the vocal tract, including Mel-Frequency Cepstral Coefficients (MFCCs), formant frequencies, and pitch contours. Because monozygotic (identical) twins share approximately 99.9% of their genome, the anatomical structures that determine these spectral features are nearly identical.</w:t>
      </w:r>
    </w:p>
    <w:p>
      <w:pPr>
        <w:spacing w:after="120"/>
      </w:pPr>
      <w:r>
        <w:rPr>
          <w:rFonts w:ascii="Arial" w:cs="Arial" w:eastAsia="Arial" w:hAnsi="Arial"/>
          <w:b w:val="false"/>
          <w:bCs w:val="false"/>
          <w:i w:val="false"/>
          <w:iCs w:val="false"/>
          <w:sz w:val="22"/>
          <w:szCs w:val="22"/>
        </w:rPr>
        <w:t xml:space="preserve">Published research demonstrates that state-of-the-art speaker verification systems, which achieve Equal Error Rates (EER) below 1% for the general population, degrade to EER values of 5–15% or higher when tested on identical twin pairs. This level of error is unacceptable for security-critical AAA applications.</w:t>
      </w:r>
    </w:p>
    <w:p>
      <w:pPr>
        <w:pStyle w:val="Heading2"/>
      </w:pPr>
      <w:r>
        <w:rPr>
          <w:rFonts w:ascii="Arial" w:cs="Arial" w:eastAsia="Arial" w:hAnsi="Arial"/>
        </w:rPr>
        <w:t xml:space="preserve">3.2 The Automation Trust Gap</w:t>
      </w:r>
    </w:p>
    <w:p>
      <w:pPr>
        <w:spacing w:after="120"/>
      </w:pPr>
      <w:r>
        <w:rPr>
          <w:rFonts w:ascii="Arial" w:cs="Arial" w:eastAsia="Arial" w:hAnsi="Arial"/>
          <w:b w:val="false"/>
          <w:bCs w:val="false"/>
          <w:i w:val="false"/>
          <w:iCs w:val="false"/>
          <w:sz w:val="22"/>
          <w:szCs w:val="22"/>
        </w:rPr>
        <w:t xml:space="preserve">A separate but related problem arises when voice authentication is used to authorize AI-driven automation—deploying applications, provisioning infrastructure, executing financial transactions, or modifying access controls. In these scenarios, three distinct trust gaps emerge:</w:t>
      </w:r>
    </w:p>
    <w:p>
      <w:pPr>
        <w:spacing w:after="120"/>
      </w:pPr>
      <w:r>
        <w:rPr>
          <w:rFonts w:ascii="Arial" w:cs="Arial" w:eastAsia="Arial" w:hAnsi="Arial"/>
          <w:b/>
          <w:bCs/>
          <w:sz w:val="22"/>
          <w:szCs w:val="22"/>
        </w:rPr>
        <w:t xml:space="preserve">Trust Gap 1 — Identity: </w:t>
      </w:r>
      <w:r>
        <w:rPr>
          <w:rFonts w:ascii="Arial" w:cs="Arial" w:eastAsia="Arial" w:hAnsi="Arial"/>
          <w:sz w:val="22"/>
          <w:szCs w:val="22"/>
        </w:rPr>
        <w:t xml:space="preserve">Is the person issuing the voice command actually who they claim to be? (The twins/deepfake problem.)</w:t>
      </w:r>
    </w:p>
    <w:p>
      <w:pPr>
        <w:spacing w:after="120"/>
      </w:pPr>
      <w:r>
        <w:rPr>
          <w:rFonts w:ascii="Arial" w:cs="Arial" w:eastAsia="Arial" w:hAnsi="Arial"/>
          <w:b/>
          <w:bCs/>
          <w:sz w:val="22"/>
          <w:szCs w:val="22"/>
        </w:rPr>
        <w:t xml:space="preserve">Trust Gap 2 — Intent Fidelity: </w:t>
      </w:r>
      <w:r>
        <w:rPr>
          <w:rFonts w:ascii="Arial" w:cs="Arial" w:eastAsia="Arial" w:hAnsi="Arial"/>
          <w:sz w:val="22"/>
          <w:szCs w:val="22"/>
        </w:rPr>
        <w:t xml:space="preserve">Does the AI agent’s interpretation of the command match what the human actually meant? A hallucinating or over-interpreting agent may execute actions far beyond the intended scope.</w:t>
      </w:r>
    </w:p>
    <w:p>
      <w:pPr>
        <w:spacing w:after="120"/>
      </w:pPr>
      <w:r>
        <w:rPr>
          <w:rFonts w:ascii="Arial" w:cs="Arial" w:eastAsia="Arial" w:hAnsi="Arial"/>
          <w:b/>
          <w:bCs/>
          <w:sz w:val="22"/>
          <w:szCs w:val="22"/>
        </w:rPr>
        <w:t xml:space="preserve">Trust Gap 3 — Execution Boundedness: </w:t>
      </w:r>
      <w:r>
        <w:rPr>
          <w:rFonts w:ascii="Arial" w:cs="Arial" w:eastAsia="Arial" w:hAnsi="Arial"/>
          <w:sz w:val="22"/>
          <w:szCs w:val="22"/>
        </w:rPr>
        <w:t xml:space="preserve">Did the AI agent execute exactly what was authorized, within its defined boundaries, and nothing else? An unbounded agent presents the same risk as an unsandboxed application running as root.</w:t>
      </w:r>
    </w:p>
    <w:p>
      <w:pPr>
        <w:pStyle w:val="Heading2"/>
      </w:pPr>
      <w:r>
        <w:rPr>
          <w:rFonts w:ascii="Arial" w:cs="Arial" w:eastAsia="Arial" w:hAnsi="Arial"/>
        </w:rPr>
        <w:t xml:space="preserve">3.3 The Existing Pipeline Paradox</w:t>
      </w:r>
    </w:p>
    <w:p>
      <w:pPr>
        <w:spacing w:after="120"/>
      </w:pPr>
      <w:r>
        <w:rPr>
          <w:rFonts w:ascii="Arial" w:cs="Arial" w:eastAsia="Arial" w:hAnsi="Arial"/>
          <w:b w:val="false"/>
          <w:bCs w:val="false"/>
          <w:i w:val="false"/>
          <w:iCs w:val="false"/>
          <w:sz w:val="22"/>
          <w:szCs w:val="22"/>
        </w:rPr>
        <w:t xml:space="preserve">Organizations routinely trust deterministic CI/CD pipelines (e.g., GitHub Actions, GitLab CI, Terraform, Ansible) to deploy applications and infrastructure autonomously. These pipelines execute predefined scripts triggered by code commits—functionally, they are autonomous agents acting on textual commands (YAML configuration files) without real-time human oversight of each step. The security model relies on code review, IAM policies, and audit logs.</w:t>
      </w:r>
    </w:p>
    <w:p>
      <w:pPr>
        <w:spacing w:after="120"/>
      </w:pPr>
      <w:r>
        <w:rPr>
          <w:rFonts w:ascii="Arial" w:cs="Arial" w:eastAsia="Arial" w:hAnsi="Arial"/>
          <w:b w:val="false"/>
          <w:bCs w:val="false"/>
          <w:i w:val="false"/>
          <w:iCs w:val="false"/>
          <w:sz w:val="22"/>
          <w:szCs w:val="22"/>
        </w:rPr>
        <w:t xml:space="preserve">The introduction of AI agents with natural language interfaces does not fundamentally change this model—it changes the interface from declarative configuration to conversational command. The underlying security requirements (identity assurance, authorization scoping, execution constraints, audit trails) are identical. What is needed is not a prohibition on AI-driven automation but a governance architecture that provides equivalent or superior trust guarantees to existing CI/CD pipelines while supporting the flexibility of natural language command.</w:t>
      </w:r>
    </w:p>
    <w:p>
      <w:pPr>
        <w:pStyle w:val="Heading2"/>
      </w:pPr>
      <w:r>
        <w:rPr>
          <w:rFonts w:ascii="Arial" w:cs="Arial" w:eastAsia="Arial" w:hAnsi="Arial"/>
        </w:rPr>
        <w:t xml:space="preserve">3.4 Limitations of Existing Approaches</w:t>
      </w:r>
    </w:p>
    <w:p>
      <w:pPr>
        <w:pStyle w:val="ListParagraph"/>
        <w:numPr>
          <w:ilvl w:val="0"/>
          <w:numId w:val="2"/>
        </w:numPr>
        <w:spacing w:after="80"/>
      </w:pPr>
      <w:r>
        <w:rPr>
          <w:rFonts w:ascii="Arial" w:cs="Arial" w:eastAsia="Arial" w:hAnsi="Arial"/>
          <w:sz w:val="22"/>
          <w:szCs w:val="22"/>
        </w:rPr>
        <w:t xml:space="preserve">Classical spectral voice features (MFCCs, i-vectors, x-vectors) are dominated by anatomical characteristics shared between twins and fail to discriminate reliably.</w:t>
      </w:r>
    </w:p>
    <w:p>
      <w:pPr>
        <w:pStyle w:val="ListParagraph"/>
        <w:numPr>
          <w:ilvl w:val="0"/>
          <w:numId w:val="2"/>
        </w:numPr>
        <w:spacing w:after="80"/>
      </w:pPr>
      <w:r>
        <w:rPr>
          <w:rFonts w:ascii="Arial" w:cs="Arial" w:eastAsia="Arial" w:hAnsi="Arial"/>
          <w:sz w:val="22"/>
          <w:szCs w:val="22"/>
        </w:rPr>
        <w:t xml:space="preserve">Current voice authentication systems provide binary gate-style authentication with no continuous session monitoring, making them vulnerable to session hijacking and deepfake cascade attacks.</w:t>
      </w:r>
    </w:p>
    <w:p>
      <w:pPr>
        <w:pStyle w:val="ListParagraph"/>
        <w:numPr>
          <w:ilvl w:val="0"/>
          <w:numId w:val="2"/>
        </w:numPr>
        <w:spacing w:after="80"/>
      </w:pPr>
      <w:r>
        <w:rPr>
          <w:rFonts w:ascii="Arial" w:cs="Arial" w:eastAsia="Arial" w:hAnsi="Arial"/>
          <w:sz w:val="22"/>
          <w:szCs w:val="22"/>
        </w:rPr>
        <w:t xml:space="preserve">AI agent frameworks lack formal verification of execution plans against command intent, relying instead on prompt engineering and hope.</w:t>
      </w:r>
    </w:p>
    <w:p>
      <w:pPr>
        <w:pStyle w:val="ListParagraph"/>
        <w:numPr>
          <w:ilvl w:val="0"/>
          <w:numId w:val="2"/>
        </w:numPr>
        <w:spacing w:after="80"/>
      </w:pPr>
      <w:r>
        <w:rPr>
          <w:rFonts w:ascii="Arial" w:cs="Arial" w:eastAsia="Arial" w:hAnsi="Arial"/>
          <w:sz w:val="22"/>
          <w:szCs w:val="22"/>
        </w:rPr>
        <w:t xml:space="preserve">No existing system provides an end-to-end, cryptographically verifiable chain of trust from voice command through AI plan generation, governance validation, and execution audit.</w:t>
      </w:r>
    </w:p>
    <w:p>
      <w:r>
        <w:br w:type="page"/>
      </w:r>
    </w:p>
    <w:p>
      <w:pPr>
        <w:pStyle w:val="Heading1"/>
      </w:pPr>
      <w:r>
        <w:rPr>
          <w:rFonts w:ascii="Arial" w:cs="Arial" w:eastAsia="Arial" w:hAnsi="Arial"/>
        </w:rPr>
        <w:t xml:space="preserve">4. Summary of Invention</w:t>
      </w:r>
    </w:p>
    <w:p>
      <w:pPr>
        <w:spacing w:after="120"/>
      </w:pPr>
      <w:r>
        <w:rPr>
          <w:rFonts w:ascii="Arial" w:cs="Arial" w:eastAsia="Arial" w:hAnsi="Arial"/>
          <w:b w:val="false"/>
          <w:bCs w:val="false"/>
          <w:i w:val="false"/>
          <w:iCs w:val="false"/>
          <w:sz w:val="22"/>
          <w:szCs w:val="22"/>
        </w:rPr>
        <w:t xml:space="preserve">The present invention discloses a five-layer architecture that integrates three complementary technology pillars into a unified system addressing all three trust gaps: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Trust Gap Addressed</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I</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Artificial Intelligence</w:t>
            </w:r>
          </w:p>
        </w:tc>
        <w:tc>
          <w:tcPr>
            <w:tcW w:type="dxa" w:w="2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Behavioral feature extraction, plan generation, and independent plan verification</w:t>
            </w:r>
          </w:p>
        </w:tc>
        <w:tc>
          <w:tcPr>
            <w:tcW w:type="dxa" w:w="2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Identity + Intent Fidelity</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II</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Quantum Computing</w:t>
            </w:r>
          </w:p>
        </w:tc>
        <w:tc>
          <w:tcPr>
            <w:tcW w:type="dxa" w:w="2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Quantum kernel discrimination, QRNG challenges, and plan anomaly detection</w:t>
            </w:r>
          </w:p>
        </w:tc>
        <w:tc>
          <w:tcPr>
            <w:tcW w:type="dxa" w:w="2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Identity + Intent Fidelity</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III</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Blockchain / DLT</w:t>
            </w:r>
          </w:p>
        </w:tc>
        <w:tc>
          <w:tcPr>
            <w:tcW w:type="dxa" w:w="2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Enrollment provenance, command authorization ledger, execution audit trail, and governance smart contracts</w:t>
            </w:r>
          </w:p>
        </w:tc>
        <w:tc>
          <w:tcPr>
            <w:tcW w:type="dxa" w:w="2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All Three Gaps + Non-Repudiation</w:t>
            </w:r>
          </w:p>
        </w:tc>
      </w:tr>
    </w:tbl>
    <w:p>
      <w:pPr>
        <w:spacing w:after="100"/>
      </w:pPr>
    </w:p>
    <w:p>
      <w:pPr>
        <w:spacing w:after="120"/>
      </w:pPr>
      <w:r>
        <w:rPr>
          <w:rFonts w:ascii="Arial" w:cs="Arial" w:eastAsia="Arial" w:hAnsi="Arial"/>
          <w:b w:val="false"/>
          <w:bCs w:val="false"/>
          <w:i w:val="false"/>
          <w:iCs w:val="false"/>
          <w:sz w:val="22"/>
          <w:szCs w:val="22"/>
        </w:rPr>
        <w:t xml:space="preserve">These three pillars operate across five functional layers: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Analogy</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Voice Authentication</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Quantum-enhanced biometric identity verification with twin discrimination</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Verifying who issued the order</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Continuous Session Auth</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Real-time behavioral monitoring throughout command session</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Security escort during the mission</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Governance Gate</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Policy-based validation of AI execution plans against IAM, SOPs, and scope constraints</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ROE / rules of engagement</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Bounded Execution</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Sandboxed, monitored AI agent execution with drift detection</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Battle drill with safety limits</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Audit and Verification</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Blockchain-recorded chain of trust from voice to outcome</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After-action review</w:t>
            </w:r>
          </w:p>
        </w:tc>
      </w:tr>
    </w:tbl>
    <w:p>
      <w:pPr>
        <w:spacing w:after="200"/>
      </w:pPr>
    </w:p>
    <w:p>
      <w:pPr>
        <w:pStyle w:val="Heading1"/>
      </w:pPr>
      <w:r>
        <w:rPr>
          <w:rFonts w:ascii="Arial" w:cs="Arial" w:eastAsia="Arial" w:hAnsi="Arial"/>
        </w:rPr>
        <w:t xml:space="preserve">5. Detailed Description of the Invention</w:t>
      </w:r>
    </w:p>
    <w:p>
      <w:pPr>
        <w:pStyle w:val="Heading2"/>
      </w:pPr>
      <w:r>
        <w:rPr>
          <w:rFonts w:ascii="Arial" w:cs="Arial" w:eastAsia="Arial" w:hAnsi="Arial"/>
        </w:rPr>
        <w:t xml:space="preserve">5.1 Pillar I: AI-Driven Behavioral Feature Extraction (Layer 1)</w:t>
      </w:r>
    </w:p>
    <w:p>
      <w:pPr>
        <w:pStyle w:val="Heading3"/>
      </w:pPr>
      <w:r>
        <w:rPr>
          <w:rFonts w:ascii="Arial" w:cs="Arial" w:eastAsia="Arial" w:hAnsi="Arial"/>
        </w:rPr>
        <w:t xml:space="preserve">5.1.1 Rationale</w:t>
      </w:r>
    </w:p>
    <w:p>
      <w:pPr>
        <w:spacing w:after="120"/>
      </w:pPr>
      <w:r>
        <w:rPr>
          <w:rFonts w:ascii="Arial" w:cs="Arial" w:eastAsia="Arial" w:hAnsi="Arial"/>
          <w:b w:val="false"/>
          <w:bCs w:val="false"/>
          <w:i w:val="false"/>
          <w:iCs w:val="false"/>
          <w:sz w:val="22"/>
          <w:szCs w:val="22"/>
        </w:rPr>
        <w:t xml:space="preserve">Identical twins share anatomy but not experience. Over a lifetime, each twin develops unique behavioral vocal patterns shaped by social environment, profession, emotional development, and habitual speech patterns. The present invention exploits four categories of behavioral divergence that are not genetically determined:</w:t>
      </w:r>
    </w:p>
    <w:p>
      <w:pPr>
        <w:spacing w:after="120"/>
      </w:pPr>
      <w:r>
        <w:rPr>
          <w:rFonts w:ascii="Arial" w:cs="Arial" w:eastAsia="Arial" w:hAnsi="Arial"/>
          <w:b/>
          <w:bCs/>
          <w:sz w:val="22"/>
          <w:szCs w:val="22"/>
        </w:rPr>
        <w:t xml:space="preserve">Micro-Prosodic Signatures: </w:t>
      </w:r>
      <w:r>
        <w:rPr>
          <w:rFonts w:ascii="Arial" w:cs="Arial" w:eastAsia="Arial" w:hAnsi="Arial"/>
          <w:sz w:val="22"/>
          <w:szCs w:val="22"/>
        </w:rPr>
        <w:t xml:space="preserve">Sub-phonemic variations in rhythm, stress timing, and intonation contours that reflect learned speech habits. These include inter-syllable timing ratios, pitch reset patterns at prosodic boundaries, and speech rate variability under cognitive load.</w:t>
      </w:r>
    </w:p>
    <w:p>
      <w:pPr>
        <w:spacing w:after="120"/>
      </w:pPr>
      <w:r>
        <w:rPr>
          <w:rFonts w:ascii="Arial" w:cs="Arial" w:eastAsia="Arial" w:hAnsi="Arial"/>
          <w:b/>
          <w:bCs/>
          <w:sz w:val="22"/>
          <w:szCs w:val="22"/>
        </w:rPr>
        <w:t xml:space="preserve">Articulatory Dynamics: </w:t>
      </w:r>
      <w:r>
        <w:rPr>
          <w:rFonts w:ascii="Arial" w:cs="Arial" w:eastAsia="Arial" w:hAnsi="Arial"/>
          <w:sz w:val="22"/>
          <w:szCs w:val="22"/>
        </w:rPr>
        <w:t xml:space="preserve">The time-series trajectory of formant transitions between phoneme pairs (coarticulation patterns). While static formant values are genetically constrained, the dynamics of transition are learned behaviors that diverge between twins.</w:t>
      </w:r>
    </w:p>
    <w:p>
      <w:pPr>
        <w:spacing w:after="120"/>
      </w:pPr>
      <w:r>
        <w:rPr>
          <w:rFonts w:ascii="Arial" w:cs="Arial" w:eastAsia="Arial" w:hAnsi="Arial"/>
          <w:b/>
          <w:bCs/>
          <w:sz w:val="22"/>
          <w:szCs w:val="22"/>
        </w:rPr>
        <w:t xml:space="preserve">Cognitive-Linguistic Signatures: </w:t>
      </w:r>
      <w:r>
        <w:rPr>
          <w:rFonts w:ascii="Arial" w:cs="Arial" w:eastAsia="Arial" w:hAnsi="Arial"/>
          <w:sz w:val="22"/>
          <w:szCs w:val="22"/>
        </w:rPr>
        <w:t xml:space="preserve">Hesitation patterns (filled pauses, silent pauses, repairs), breathing rhythm during connected speech, word-finding latencies, and syntactic complexity patterns under time pressure.</w:t>
      </w:r>
    </w:p>
    <w:p>
      <w:pPr>
        <w:spacing w:after="120"/>
      </w:pPr>
      <w:r>
        <w:rPr>
          <w:rFonts w:ascii="Arial" w:cs="Arial" w:eastAsia="Arial" w:hAnsi="Arial"/>
          <w:b/>
          <w:bCs/>
          <w:sz w:val="22"/>
          <w:szCs w:val="22"/>
        </w:rPr>
        <w:t xml:space="preserve">Emotional Expression Patterns: </w:t>
      </w:r>
      <w:r>
        <w:rPr>
          <w:rFonts w:ascii="Arial" w:cs="Arial" w:eastAsia="Arial" w:hAnsi="Arial"/>
          <w:sz w:val="22"/>
          <w:szCs w:val="22"/>
        </w:rPr>
        <w:t xml:space="preserve">How vocal affect markers (pitch range expansion, rate changes, intensity modulation) manifest during different emotional states. Twin studies show that while twins may experience similar emotions, their vocal expression diverges significantly.</w:t>
      </w:r>
    </w:p>
    <w:p>
      <w:pPr>
        <w:pStyle w:val="Heading3"/>
      </w:pPr>
      <w:r>
        <w:rPr>
          <w:rFonts w:ascii="Arial" w:cs="Arial" w:eastAsia="Arial" w:hAnsi="Arial"/>
        </w:rPr>
        <w:t xml:space="preserve">5.1.2 Feature Extraction Architecture</w:t>
      </w:r>
    </w:p>
    <w:p>
      <w:pPr>
        <w:spacing w:after="120"/>
      </w:pPr>
      <w:r>
        <w:rPr>
          <w:rFonts w:ascii="Arial" w:cs="Arial" w:eastAsia="Arial" w:hAnsi="Arial"/>
          <w:b w:val="false"/>
          <w:bCs w:val="false"/>
          <w:i w:val="false"/>
          <w:iCs w:val="false"/>
          <w:sz w:val="22"/>
          <w:szCs w:val="22"/>
        </w:rPr>
        <w:t xml:space="preserve">The AI subsystem employs a multi-stream neural architecture:</w:t>
      </w:r>
    </w:p>
    <w:p>
      <w:pPr>
        <w:pStyle w:val="ListParagraph"/>
        <w:numPr>
          <w:ilvl w:val="0"/>
          <w:numId w:val="3"/>
        </w:numPr>
        <w:spacing w:after="80"/>
      </w:pPr>
      <w:r>
        <w:rPr>
          <w:rFonts w:ascii="Arial" w:cs="Arial" w:eastAsia="Arial" w:hAnsi="Arial"/>
          <w:sz w:val="22"/>
          <w:szCs w:val="22"/>
        </w:rPr>
        <w:t xml:space="preserve">Stream A (Acoustic-Behavioral): A temporal convolutional network (TCN) operating on frame-level acoustic features, extracting micro-prosodic patterns at 10ms resolution.</w:t>
      </w:r>
    </w:p>
    <w:p>
      <w:pPr>
        <w:pStyle w:val="ListParagraph"/>
        <w:numPr>
          <w:ilvl w:val="0"/>
          <w:numId w:val="3"/>
        </w:numPr>
        <w:spacing w:after="80"/>
      </w:pPr>
      <w:r>
        <w:rPr>
          <w:rFonts w:ascii="Arial" w:cs="Arial" w:eastAsia="Arial" w:hAnsi="Arial"/>
          <w:sz w:val="22"/>
          <w:szCs w:val="22"/>
        </w:rPr>
        <w:t xml:space="preserve">Stream B (Articulatory-Dynamic): A recurrent network (LSTM or Transformer) operating on phoneme-aligned formant trajectories, capturing coarticulation dynamics.</w:t>
      </w:r>
    </w:p>
    <w:p>
      <w:pPr>
        <w:pStyle w:val="ListParagraph"/>
        <w:numPr>
          <w:ilvl w:val="0"/>
          <w:numId w:val="3"/>
        </w:numPr>
        <w:spacing w:after="80"/>
      </w:pPr>
      <w:r>
        <w:rPr>
          <w:rFonts w:ascii="Arial" w:cs="Arial" w:eastAsia="Arial" w:hAnsi="Arial"/>
          <w:sz w:val="22"/>
          <w:szCs w:val="22"/>
        </w:rPr>
        <w:t xml:space="preserve">Stream C (Cognitive-Linguistic): A hierarchical attention model operating on utterance-level features, capturing hesitation patterns, breathing rhythms, and discourse structure.</w:t>
      </w:r>
    </w:p>
    <w:p>
      <w:pPr>
        <w:pStyle w:val="ListParagraph"/>
        <w:numPr>
          <w:ilvl w:val="0"/>
          <w:numId w:val="3"/>
        </w:numPr>
        <w:spacing w:after="80"/>
      </w:pPr>
      <w:r>
        <w:rPr>
          <w:rFonts w:ascii="Arial" w:cs="Arial" w:eastAsia="Arial" w:hAnsi="Arial"/>
          <w:sz w:val="22"/>
          <w:szCs w:val="22"/>
        </w:rPr>
        <w:t xml:space="preserve">Fusion Layer: A gated attention-weighted combination of all three streams, producing a unified behavioral embedding vector. The gate adaptively weights streams based on signal quality and utterance content.</w:t>
      </w:r>
    </w:p>
    <w:p>
      <w:pPr>
        <w:pStyle w:val="Heading3"/>
      </w:pPr>
      <w:r>
        <w:rPr>
          <w:rFonts w:ascii="Arial" w:cs="Arial" w:eastAsia="Arial" w:hAnsi="Arial"/>
        </w:rPr>
        <w:t xml:space="preserve">5.1.3 Hyperdimensional Computing (HDC) Representation</w:t>
      </w:r>
    </w:p>
    <w:p>
      <w:pPr>
        <w:spacing w:after="120"/>
      </w:pPr>
      <w:r>
        <w:rPr>
          <w:rFonts w:ascii="Arial" w:cs="Arial" w:eastAsia="Arial" w:hAnsi="Arial"/>
          <w:b w:val="false"/>
          <w:bCs w:val="false"/>
          <w:i w:val="false"/>
          <w:iCs w:val="false"/>
          <w:sz w:val="22"/>
          <w:szCs w:val="22"/>
        </w:rPr>
        <w:t xml:space="preserve">The behavioral embedding vector is encoded into a hyperdimensional representation (dimensionality D = 2,000–4,000) using:</w:t>
      </w:r>
    </w:p>
    <w:p>
      <w:pPr>
        <w:pStyle w:val="ListParagraph"/>
        <w:numPr>
          <w:ilvl w:val="0"/>
          <w:numId w:val="4"/>
        </w:numPr>
        <w:spacing w:after="80"/>
      </w:pPr>
      <w:r>
        <w:rPr>
          <w:rFonts w:ascii="Arial" w:cs="Arial" w:eastAsia="Arial" w:hAnsi="Arial"/>
          <w:sz w:val="22"/>
          <w:szCs w:val="22"/>
        </w:rPr>
        <w:t xml:space="preserve">Binding (⊗): Associates features with their temporal or categorical context.</w:t>
      </w:r>
    </w:p>
    <w:p>
      <w:pPr>
        <w:pStyle w:val="ListParagraph"/>
        <w:numPr>
          <w:ilvl w:val="0"/>
          <w:numId w:val="4"/>
        </w:numPr>
        <w:spacing w:after="80"/>
      </w:pPr>
      <w:r>
        <w:rPr>
          <w:rFonts w:ascii="Arial" w:cs="Arial" w:eastAsia="Arial" w:hAnsi="Arial"/>
          <w:sz w:val="22"/>
          <w:szCs w:val="22"/>
        </w:rPr>
        <w:t xml:space="preserve">Bundling (+): Combines multiple observations into a single representative hypervector (superposition).</w:t>
      </w:r>
    </w:p>
    <w:p>
      <w:pPr>
        <w:pStyle w:val="ListParagraph"/>
        <w:numPr>
          <w:ilvl w:val="0"/>
          <w:numId w:val="4"/>
        </w:numPr>
        <w:spacing w:after="80"/>
      </w:pPr>
      <w:r>
        <w:rPr>
          <w:rFonts w:ascii="Arial" w:cs="Arial" w:eastAsia="Arial" w:hAnsi="Arial"/>
          <w:sz w:val="22"/>
          <w:szCs w:val="22"/>
        </w:rPr>
        <w:t xml:space="preserve">Permutation (ρ): Encodes sequential order in feature trajectories.</w:t>
      </w:r>
    </w:p>
    <w:p>
      <w:pPr>
        <w:spacing w:after="120"/>
      </w:pPr>
      <w:r>
        <w:rPr>
          <w:rFonts w:ascii="Arial" w:cs="Arial" w:eastAsia="Arial" w:hAnsi="Arial"/>
          <w:b w:val="false"/>
          <w:bCs w:val="false"/>
          <w:i w:val="false"/>
          <w:iCs w:val="false"/>
          <w:sz w:val="22"/>
          <w:szCs w:val="22"/>
        </w:rPr>
        <w:t xml:space="preserve">The HDC representation provides inherent noise robustness, efficient similarity computation via dot product, and algebraic composability enabling enrollment template updates without reprocessing raw audio.</w:t>
      </w:r>
    </w:p>
    <w:p>
      <w:r>
        <w:br w:type="page"/>
      </w:r>
    </w:p>
    <w:p>
      <w:pPr>
        <w:pStyle w:val="Heading2"/>
      </w:pPr>
      <w:r>
        <w:rPr>
          <w:rFonts w:ascii="Arial" w:cs="Arial" w:eastAsia="Arial" w:hAnsi="Arial"/>
        </w:rPr>
        <w:t xml:space="preserve">5.2 Pillar II: Quantum-Enhanced Discrimination and Challenge Generation (Layers 1–2)</w:t>
      </w:r>
    </w:p>
    <w:p>
      <w:pPr>
        <w:pStyle w:val="Heading3"/>
      </w:pPr>
      <w:r>
        <w:rPr>
          <w:rFonts w:ascii="Arial" w:cs="Arial" w:eastAsia="Arial" w:hAnsi="Arial"/>
        </w:rPr>
        <w:t xml:space="preserve">5.2.1 Quantum Kernel Method for Voiceprint Comparison</w:t>
      </w:r>
    </w:p>
    <w:p>
      <w:pPr>
        <w:spacing w:after="120"/>
      </w:pPr>
      <w:r>
        <w:rPr>
          <w:rFonts w:ascii="Arial" w:cs="Arial" w:eastAsia="Arial" w:hAnsi="Arial"/>
          <w:b w:val="false"/>
          <w:bCs w:val="false"/>
          <w:i w:val="false"/>
          <w:iCs w:val="false"/>
          <w:sz w:val="22"/>
          <w:szCs w:val="22"/>
        </w:rPr>
        <w:t xml:space="preserve">The central quantum innovation uses a parameterized quantum circuit (PQC) as a kernel function for comparing voiceprint representations. The system maps HDC voiceprint vectors into a quantum Hilbert space via a quantum feature map and evaluates the kernel:</w:t>
      </w:r>
    </w:p>
    <w:p>
      <w:pPr>
        <w:spacing w:after="120" w:before="120"/>
        <w:jc w:val="center"/>
      </w:pPr>
      <w:r>
        <w:rPr>
          <w:rFonts w:ascii="Courier New" w:cs="Courier New" w:eastAsia="Courier New" w:hAnsi="Courier New"/>
          <w:b/>
          <w:bCs/>
          <w:sz w:val="22"/>
          <w:szCs w:val="22"/>
        </w:rPr>
        <w:t xml:space="preserve">k(x, x′) = |⟨φ(x)|φ(x′)⟩|²</w:t>
      </w:r>
    </w:p>
    <w:p>
      <w:pPr>
        <w:spacing w:after="120"/>
      </w:pPr>
      <w:r>
        <w:rPr>
          <w:rFonts w:ascii="Arial" w:cs="Arial" w:eastAsia="Arial" w:hAnsi="Arial"/>
          <w:b w:val="false"/>
          <w:bCs w:val="false"/>
          <w:i w:val="false"/>
          <w:iCs w:val="false"/>
          <w:sz w:val="22"/>
          <w:szCs w:val="22"/>
        </w:rPr>
        <w:t xml:space="preserve">This quantum kernel operates in an exponentially large Hilbert space (dimension 2ⁿ for n qubits) that is classically intractable to compute directly. For the twins problem, voiceprints that overlap in classical feature space may become separable in the quantum kernel space.</w:t>
      </w:r>
    </w:p>
    <w:p>
      <w:pPr>
        <w:pStyle w:val="Heading3"/>
      </w:pPr>
      <w:r>
        <w:rPr>
          <w:rFonts w:ascii="Arial" w:cs="Arial" w:eastAsia="Arial" w:hAnsi="Arial"/>
        </w:rPr>
        <w:t xml:space="preserve">5.2.2 Quantum Circuit Design</w:t>
      </w:r>
    </w:p>
    <w:p>
      <w:pPr>
        <w:pStyle w:val="ListParagraph"/>
        <w:numPr>
          <w:ilvl w:val="0"/>
          <w:numId w:val="5"/>
        </w:numPr>
        <w:spacing w:after="80"/>
      </w:pPr>
      <w:r>
        <w:rPr>
          <w:rFonts w:ascii="Arial" w:cs="Arial" w:eastAsia="Arial" w:hAnsi="Arial"/>
          <w:sz w:val="22"/>
          <w:szCs w:val="22"/>
        </w:rPr>
        <w:t xml:space="preserve">Data encoding layer: Amplitude or angle encoding of the HDC voiceprint vector into n qubits.</w:t>
      </w:r>
    </w:p>
    <w:p>
      <w:pPr>
        <w:pStyle w:val="ListParagraph"/>
        <w:numPr>
          <w:ilvl w:val="0"/>
          <w:numId w:val="5"/>
        </w:numPr>
        <w:spacing w:after="80"/>
      </w:pPr>
      <w:r>
        <w:rPr>
          <w:rFonts w:ascii="Arial" w:cs="Arial" w:eastAsia="Arial" w:hAnsi="Arial"/>
          <w:sz w:val="22"/>
          <w:szCs w:val="22"/>
        </w:rPr>
        <w:t xml:space="preserve">Entanglement layer: Parameterized two-qubit gates (CNOT + Ry rotations) creating correlations between encoded features.</w:t>
      </w:r>
    </w:p>
    <w:p>
      <w:pPr>
        <w:pStyle w:val="ListParagraph"/>
        <w:numPr>
          <w:ilvl w:val="0"/>
          <w:numId w:val="5"/>
        </w:numPr>
        <w:spacing w:after="80"/>
      </w:pPr>
      <w:r>
        <w:rPr>
          <w:rFonts w:ascii="Arial" w:cs="Arial" w:eastAsia="Arial" w:hAnsi="Arial"/>
          <w:sz w:val="22"/>
          <w:szCs w:val="22"/>
        </w:rPr>
        <w:t xml:space="preserve">Measurement layer: Overlap estimation via SWAP test or Hadamard test.</w:t>
      </w:r>
    </w:p>
    <w:p>
      <w:pPr>
        <w:spacing w:after="120"/>
      </w:pPr>
      <w:r>
        <w:rPr>
          <w:rFonts w:ascii="Arial" w:cs="Arial" w:eastAsia="Arial" w:hAnsi="Arial"/>
          <w:b w:val="false"/>
          <w:bCs w:val="false"/>
          <w:i w:val="false"/>
          <w:iCs w:val="false"/>
          <w:sz w:val="22"/>
          <w:szCs w:val="22"/>
        </w:rPr>
        <w:t xml:space="preserve">Circuit parameters are optimized offline using a twin-vs-non-twin contrastive loss function.</w:t>
      </w:r>
    </w:p>
    <w:p>
      <w:pPr>
        <w:pStyle w:val="Heading3"/>
      </w:pPr>
      <w:r>
        <w:rPr>
          <w:rFonts w:ascii="Arial" w:cs="Arial" w:eastAsia="Arial" w:hAnsi="Arial"/>
        </w:rPr>
        <w:t xml:space="preserve">5.2.3 Quantum Random Number Generation (QRNG) for Challenge-Response</w:t>
      </w:r>
    </w:p>
    <w:p>
      <w:pPr>
        <w:spacing w:after="120"/>
      </w:pPr>
      <w:r>
        <w:rPr>
          <w:rFonts w:ascii="Arial" w:cs="Arial" w:eastAsia="Arial" w:hAnsi="Arial"/>
          <w:b w:val="false"/>
          <w:bCs w:val="false"/>
          <w:i w:val="false"/>
          <w:iCs w:val="false"/>
          <w:sz w:val="22"/>
          <w:szCs w:val="22"/>
        </w:rPr>
        <w:t xml:space="preserve">The system employs QRNG to produce truly unpredictable challenge prompts, providing:</w:t>
      </w:r>
    </w:p>
    <w:p>
      <w:pPr>
        <w:pStyle w:val="ListParagraph"/>
        <w:numPr>
          <w:ilvl w:val="0"/>
          <w:numId w:val="6"/>
        </w:numPr>
        <w:spacing w:after="80"/>
      </w:pPr>
      <w:r>
        <w:rPr>
          <w:rFonts w:ascii="Arial" w:cs="Arial" w:eastAsia="Arial" w:hAnsi="Arial"/>
          <w:sz w:val="22"/>
          <w:szCs w:val="22"/>
        </w:rPr>
        <w:t xml:space="preserve">Provable resistance to replay attacks (information-theoretically unpredictable, unlike PRNG).</w:t>
      </w:r>
    </w:p>
    <w:p>
      <w:pPr>
        <w:pStyle w:val="ListParagraph"/>
        <w:numPr>
          <w:ilvl w:val="0"/>
          <w:numId w:val="6"/>
        </w:numPr>
        <w:spacing w:after="80"/>
      </w:pPr>
      <w:r>
        <w:rPr>
          <w:rFonts w:ascii="Arial" w:cs="Arial" w:eastAsia="Arial" w:hAnsi="Arial"/>
          <w:sz w:val="22"/>
          <w:szCs w:val="22"/>
        </w:rPr>
        <w:t xml:space="preserve">Resistance to deepfake pre-computation (attacker cannot pre-generate responses to unknown challenges).</w:t>
      </w:r>
    </w:p>
    <w:p>
      <w:pPr>
        <w:pStyle w:val="ListParagraph"/>
        <w:numPr>
          <w:ilvl w:val="0"/>
          <w:numId w:val="6"/>
        </w:numPr>
        <w:spacing w:after="80"/>
      </w:pPr>
      <w:r>
        <w:rPr>
          <w:rFonts w:ascii="Arial" w:cs="Arial" w:eastAsia="Arial" w:hAnsi="Arial"/>
          <w:sz w:val="22"/>
          <w:szCs w:val="22"/>
        </w:rPr>
        <w:t xml:space="preserve">Enhanced behavioral feature activation via linguistically targeted challenge phrases that maximize twin discrimination.</w:t>
      </w:r>
    </w:p>
    <w:p>
      <w:pPr>
        <w:pStyle w:val="Heading3"/>
      </w:pPr>
      <w:r>
        <w:rPr>
          <w:rFonts w:ascii="Arial" w:cs="Arial" w:eastAsia="Arial" w:hAnsi="Arial"/>
        </w:rPr>
        <w:t xml:space="preserve">5.2.4 Joint Verification and Liveness Scoring</w:t>
      </w:r>
    </w:p>
    <w:p>
      <w:pPr>
        <w:spacing w:after="120"/>
      </w:pPr>
      <w:r>
        <w:rPr>
          <w:rFonts w:ascii="Arial" w:cs="Arial" w:eastAsia="Arial" w:hAnsi="Arial"/>
          <w:b w:val="false"/>
          <w:bCs w:val="false"/>
          <w:i w:val="false"/>
          <w:iCs w:val="false"/>
          <w:sz w:val="22"/>
          <w:szCs w:val="22"/>
        </w:rPr>
        <w:t xml:space="preserve">The quantum kernel produces a joint score integrating both speaker verification and liveness detection. Spoofed or synthetic speech, lacking genuine behavioral microstructure, maps to a distinct region of the quantum Hilbert space—enabling detection as a geometric property of the kernel rather than requiring a separate classifier.</w:t>
      </w:r>
    </w:p>
    <w:p>
      <w:r>
        <w:br w:type="page"/>
      </w:r>
    </w:p>
    <w:p>
      <w:pPr>
        <w:pStyle w:val="Heading2"/>
      </w:pPr>
      <w:r>
        <w:rPr>
          <w:rFonts w:ascii="Arial" w:cs="Arial" w:eastAsia="Arial" w:hAnsi="Arial"/>
        </w:rPr>
        <w:t xml:space="preserve">5.3 Pillar III: Blockchain-Verified Identity Provenance and Audit Trail (Layer 5)</w:t>
      </w:r>
    </w:p>
    <w:p>
      <w:pPr>
        <w:pStyle w:val="Heading3"/>
      </w:pPr>
      <w:r>
        <w:rPr>
          <w:rFonts w:ascii="Arial" w:cs="Arial" w:eastAsia="Arial" w:hAnsi="Arial"/>
        </w:rPr>
        <w:t xml:space="preserve">5.3.1 Enrollment Provenance Chain</w:t>
      </w:r>
    </w:p>
    <w:p>
      <w:pPr>
        <w:spacing w:after="120"/>
      </w:pPr>
      <w:r>
        <w:rPr>
          <w:rFonts w:ascii="Arial" w:cs="Arial" w:eastAsia="Arial" w:hAnsi="Arial"/>
          <w:b w:val="false"/>
          <w:bCs w:val="false"/>
          <w:i w:val="false"/>
          <w:iCs w:val="false"/>
          <w:sz w:val="22"/>
          <w:szCs w:val="22"/>
        </w:rPr>
        <w:t xml:space="preserve">Each voiceprint enrollment event is recorded on a distributed ledger as a transaction containing:</w:t>
      </w:r>
    </w:p>
    <w:p>
      <w:pPr>
        <w:pStyle w:val="ListParagraph"/>
        <w:numPr>
          <w:ilvl w:val="0"/>
          <w:numId w:val="7"/>
        </w:numPr>
        <w:spacing w:after="80"/>
      </w:pPr>
      <w:r>
        <w:rPr>
          <w:rFonts w:ascii="Arial" w:cs="Arial" w:eastAsia="Arial" w:hAnsi="Arial"/>
          <w:sz w:val="22"/>
          <w:szCs w:val="22"/>
        </w:rPr>
        <w:t xml:space="preserve">A cryptographic hash of the voiceprint template (not the template itself, preserving biometric privacy).</w:t>
      </w:r>
    </w:p>
    <w:p>
      <w:pPr>
        <w:pStyle w:val="ListParagraph"/>
        <w:numPr>
          <w:ilvl w:val="0"/>
          <w:numId w:val="7"/>
        </w:numPr>
        <w:spacing w:after="80"/>
      </w:pPr>
      <w:r>
        <w:rPr>
          <w:rFonts w:ascii="Arial" w:cs="Arial" w:eastAsia="Arial" w:hAnsi="Arial"/>
          <w:sz w:val="22"/>
          <w:szCs w:val="22"/>
        </w:rPr>
        <w:t xml:space="preserve">Enrollment conditions: device metadata, environmental parameters, liveness verification result, QRNG challenge sequence.</w:t>
      </w:r>
    </w:p>
    <w:p>
      <w:pPr>
        <w:pStyle w:val="ListParagraph"/>
        <w:numPr>
          <w:ilvl w:val="0"/>
          <w:numId w:val="7"/>
        </w:numPr>
        <w:spacing w:after="80"/>
      </w:pPr>
      <w:r>
        <w:rPr>
          <w:rFonts w:ascii="Arial" w:cs="Arial" w:eastAsia="Arial" w:hAnsi="Arial"/>
          <w:sz w:val="22"/>
          <w:szCs w:val="22"/>
        </w:rPr>
        <w:t xml:space="preserve">A timestamp and identity assertion signed by the enrollment authority.</w:t>
      </w:r>
    </w:p>
    <w:p>
      <w:pPr>
        <w:pStyle w:val="ListParagraph"/>
        <w:numPr>
          <w:ilvl w:val="0"/>
          <w:numId w:val="7"/>
        </w:numPr>
        <w:spacing w:after="80"/>
      </w:pPr>
      <w:r>
        <w:rPr>
          <w:rFonts w:ascii="Arial" w:cs="Arial" w:eastAsia="Arial" w:hAnsi="Arial"/>
          <w:sz w:val="22"/>
          <w:szCs w:val="22"/>
        </w:rPr>
        <w:t xml:space="preserve">For twin-aware enrollment: a reference to the co-twin’s enrollment transaction, enabling automatic twin-specific threshold activation.</w:t>
      </w:r>
    </w:p>
    <w:p>
      <w:pPr>
        <w:pStyle w:val="Heading3"/>
      </w:pPr>
      <w:r>
        <w:rPr>
          <w:rFonts w:ascii="Arial" w:cs="Arial" w:eastAsia="Arial" w:hAnsi="Arial"/>
        </w:rPr>
        <w:t xml:space="preserve">5.3.2 Authentication Event Ledger</w:t>
      </w:r>
    </w:p>
    <w:p>
      <w:pPr>
        <w:spacing w:after="120"/>
      </w:pPr>
      <w:r>
        <w:rPr>
          <w:rFonts w:ascii="Arial" w:cs="Arial" w:eastAsia="Arial" w:hAnsi="Arial"/>
          <w:b w:val="false"/>
          <w:bCs w:val="false"/>
          <w:i w:val="false"/>
          <w:iCs w:val="false"/>
          <w:sz w:val="22"/>
          <w:szCs w:val="22"/>
        </w:rPr>
        <w:t xml:space="preserve">Each authentication attempt produces a ledger entry containing:</w:t>
      </w:r>
    </w:p>
    <w:p>
      <w:pPr>
        <w:pStyle w:val="ListParagraph"/>
        <w:numPr>
          <w:ilvl w:val="0"/>
          <w:numId w:val="8"/>
        </w:numPr>
        <w:spacing w:after="80"/>
      </w:pPr>
      <w:r>
        <w:rPr>
          <w:rFonts w:ascii="Arial" w:cs="Arial" w:eastAsia="Arial" w:hAnsi="Arial"/>
          <w:sz w:val="22"/>
          <w:szCs w:val="22"/>
        </w:rPr>
        <w:t xml:space="preserve">The QRNG challenge issued and a hash of the voice response.</w:t>
      </w:r>
    </w:p>
    <w:p>
      <w:pPr>
        <w:pStyle w:val="ListParagraph"/>
        <w:numPr>
          <w:ilvl w:val="0"/>
          <w:numId w:val="8"/>
        </w:numPr>
        <w:spacing w:after="80"/>
      </w:pPr>
      <w:r>
        <w:rPr>
          <w:rFonts w:ascii="Arial" w:cs="Arial" w:eastAsia="Arial" w:hAnsi="Arial"/>
          <w:sz w:val="22"/>
          <w:szCs w:val="22"/>
        </w:rPr>
        <w:t xml:space="preserve">The quantum kernel similarity score and verification decision.</w:t>
      </w:r>
    </w:p>
    <w:p>
      <w:pPr>
        <w:pStyle w:val="ListParagraph"/>
        <w:numPr>
          <w:ilvl w:val="0"/>
          <w:numId w:val="8"/>
        </w:numPr>
        <w:spacing w:after="80"/>
      </w:pPr>
      <w:r>
        <w:rPr>
          <w:rFonts w:ascii="Arial" w:cs="Arial" w:eastAsia="Arial" w:hAnsi="Arial"/>
          <w:sz w:val="22"/>
          <w:szCs w:val="22"/>
        </w:rPr>
        <w:t xml:space="preserve">Environmental context at verification time.</w:t>
      </w:r>
    </w:p>
    <w:p>
      <w:pPr>
        <w:pStyle w:val="ListParagraph"/>
        <w:numPr>
          <w:ilvl w:val="0"/>
          <w:numId w:val="8"/>
        </w:numPr>
        <w:spacing w:after="80"/>
      </w:pPr>
      <w:r>
        <w:rPr>
          <w:rFonts w:ascii="Arial" w:cs="Arial" w:eastAsia="Arial" w:hAnsi="Arial"/>
          <w:sz w:val="22"/>
          <w:szCs w:val="22"/>
        </w:rPr>
        <w:t xml:space="preserve">A non-repudiation signature for dispute resolution.</w:t>
      </w:r>
    </w:p>
    <w:p>
      <w:pPr>
        <w:pStyle w:val="Heading3"/>
      </w:pPr>
      <w:r>
        <w:rPr>
          <w:rFonts w:ascii="Arial" w:cs="Arial" w:eastAsia="Arial" w:hAnsi="Arial"/>
        </w:rPr>
        <w:t xml:space="preserve">5.3.3 Adaptive Threshold Governance</w:t>
      </w:r>
    </w:p>
    <w:p>
      <w:pPr>
        <w:spacing w:after="120"/>
      </w:pPr>
      <w:r>
        <w:rPr>
          <w:rFonts w:ascii="Arial" w:cs="Arial" w:eastAsia="Arial" w:hAnsi="Arial"/>
          <w:b w:val="false"/>
          <w:bCs w:val="false"/>
          <w:i w:val="false"/>
          <w:iCs w:val="false"/>
          <w:sz w:val="22"/>
          <w:szCs w:val="22"/>
        </w:rPr>
        <w:t xml:space="preserve">Smart contracts on the ledger govern authentication threshold parameters. When twin-pair enrollment is detected, the contract automatically tightens verification thresholds and activates behavioral-emphasis feature weighting (increasing Streams B and C in the AI fusion layer). This governance is auditable and tamper-evident.</w:t>
      </w:r>
    </w:p>
    <w:p>
      <w:r>
        <w:br w:type="page"/>
      </w:r>
    </w:p>
    <w:p>
      <w:pPr>
        <w:pStyle w:val="Heading2"/>
      </w:pPr>
      <w:r>
        <w:rPr>
          <w:rFonts w:ascii="Arial" w:cs="Arial" w:eastAsia="Arial" w:hAnsi="Arial"/>
        </w:rPr>
        <w:t xml:space="preserve">5.4 Autonomous Action Governance Framework (Layers 2–4)</w:t>
      </w:r>
    </w:p>
    <w:p>
      <w:pPr>
        <w:spacing w:after="120"/>
      </w:pPr>
      <w:r>
        <w:rPr>
          <w:rFonts w:ascii="Arial" w:cs="Arial" w:eastAsia="Arial" w:hAnsi="Arial"/>
          <w:b w:val="false"/>
          <w:bCs w:val="false"/>
          <w:i w:val="false"/>
          <w:iCs w:val="false"/>
          <w:sz w:val="22"/>
          <w:szCs w:val="22"/>
        </w:rPr>
        <w:t xml:space="preserve">This section addresses Trust Gaps 2 and 3: ensuring that AI agents interpret commands correctly and execute them within defined boundaries. The architecture extends the voice authentication chain of trust through the full lifecycle of an AI-automated action.</w:t>
      </w:r>
    </w:p>
    <w:p>
      <w:pPr>
        <w:pStyle w:val="Heading3"/>
      </w:pPr>
      <w:r>
        <w:rPr>
          <w:rFonts w:ascii="Arial" w:cs="Arial" w:eastAsia="Arial" w:hAnsi="Arial"/>
        </w:rPr>
        <w:t xml:space="preserve">5.4.1 The Pipeline Equivalence Principle</w:t>
      </w:r>
    </w:p>
    <w:p>
      <w:pPr>
        <w:spacing w:after="120"/>
      </w:pPr>
      <w:r>
        <w:rPr>
          <w:rFonts w:ascii="Arial" w:cs="Arial" w:eastAsia="Arial" w:hAnsi="Arial"/>
          <w:b w:val="false"/>
          <w:bCs w:val="false"/>
          <w:i w:val="false"/>
          <w:iCs w:val="false"/>
          <w:sz w:val="22"/>
          <w:szCs w:val="22"/>
        </w:rPr>
        <w:t xml:space="preserve">The present invention is grounded in the observation that AI-driven automation is functionally equivalent to existing deterministic CI/CD pipelines (GitHub Actions, Terraform, Ansible, etc.). In both cases, an autonomous process executes infrastructure and application changes without real-time human intervention at each step. The difference is interface (natural language vs. declarative configuration), not risk model. The security requirements—identity assurance, authorization scoping, execution constraints, and audit trails—are identical.</w:t>
      </w:r>
    </w:p>
    <w:p>
      <w:pPr>
        <w:spacing w:after="120"/>
      </w:pPr>
      <w:r>
        <w:rPr>
          <w:rFonts w:ascii="Arial" w:cs="Arial" w:eastAsia="Arial" w:hAnsi="Arial"/>
          <w:b w:val="false"/>
          <w:bCs w:val="false"/>
          <w:i w:val="false"/>
          <w:iCs w:val="false"/>
          <w:sz w:val="22"/>
          <w:szCs w:val="22"/>
        </w:rPr>
        <w:t xml:space="preserve">Therefore, the governance architecture for AI-driven automation should leverage the same cloud-native security primitives (IAM, policy engines, audit logging) that already govern CI/CD pipelines, augmented with additional controls specific to the non-deterministic nature of AI planning.</w:t>
      </w:r>
    </w:p>
    <w:p>
      <w:pPr>
        <w:pStyle w:val="Heading3"/>
      </w:pPr>
      <w:r>
        <w:rPr>
          <w:rFonts w:ascii="Arial" w:cs="Arial" w:eastAsia="Arial" w:hAnsi="Arial"/>
        </w:rPr>
        <w:t xml:space="preserve">5.4.2 Governance Gate Layer (Layer 3)</w:t>
      </w:r>
    </w:p>
    <w:p>
      <w:pPr>
        <w:spacing w:after="120"/>
      </w:pPr>
      <w:r>
        <w:rPr>
          <w:rFonts w:ascii="Arial" w:cs="Arial" w:eastAsia="Arial" w:hAnsi="Arial"/>
          <w:b w:val="false"/>
          <w:bCs w:val="false"/>
          <w:i w:val="false"/>
          <w:iCs w:val="false"/>
          <w:sz w:val="22"/>
          <w:szCs w:val="22"/>
        </w:rPr>
        <w:t xml:space="preserve">After an authenticated user issues a voice command, the AI agent generates a structured execution plan before taking any action. This plan passes through a Governance Gate comprising:</w:t>
      </w:r>
    </w:p>
    <w:p>
      <w:pPr>
        <w:spacing w:after="120"/>
      </w:pPr>
      <w:r>
        <w:rPr>
          <w:rFonts w:ascii="Arial" w:cs="Arial" w:eastAsia="Arial" w:hAnsi="Arial"/>
          <w:b/>
          <w:bCs/>
          <w:sz w:val="22"/>
          <w:szCs w:val="22"/>
        </w:rPr>
        <w:t xml:space="preserve">Policy Enforcement Engine: </w:t>
      </w:r>
      <w:r>
        <w:rPr>
          <w:rFonts w:ascii="Arial" w:cs="Arial" w:eastAsia="Arial" w:hAnsi="Arial"/>
          <w:sz w:val="22"/>
          <w:szCs w:val="22"/>
        </w:rPr>
        <w:t xml:space="preserve">The execution plan is validated against a policy rule set that defines what actions are allowable for this user, this agent, in this context. The policy engine integrates with cloud-native IAM and policy services (e.g., Azure Policy, AWS Service Control Policies, GCP Organization Policies) to enforce the same authorization boundaries that apply to human users and CI/CD pipelines. The AI agent is treated as a principal in the IAM model with its own role, permissions, and policy boundaries—analogous to a service account used by a Terraform runner.</w:t>
      </w:r>
    </w:p>
    <w:p>
      <w:pPr>
        <w:spacing w:after="120"/>
      </w:pPr>
      <w:r>
        <w:rPr>
          <w:rFonts w:ascii="Arial" w:cs="Arial" w:eastAsia="Arial" w:hAnsi="Arial"/>
          <w:b/>
          <w:bCs/>
          <w:sz w:val="22"/>
          <w:szCs w:val="22"/>
        </w:rPr>
        <w:t xml:space="preserve">Scope Constraint Validator: </w:t>
      </w:r>
      <w:r>
        <w:rPr>
          <w:rFonts w:ascii="Arial" w:cs="Arial" w:eastAsia="Arial" w:hAnsi="Arial"/>
          <w:sz w:val="22"/>
          <w:szCs w:val="22"/>
        </w:rPr>
        <w:t xml:space="preserve">The plan is checked against the explicit scope of the voice command. If the user said “deploy the update to staging,” the validator ensures the plan does not include production targets, does not modify resources outside the application’s boundary, and does not escalate privileges beyond what the command requires. Scope constraints are defined as declarative policies (similar to OPA/Rego rules or AWS SCPs) that can be version-controlled and audited.</w:t>
      </w:r>
    </w:p>
    <w:p>
      <w:pPr>
        <w:spacing w:after="120"/>
      </w:pPr>
      <w:r>
        <w:rPr>
          <w:rFonts w:ascii="Arial" w:cs="Arial" w:eastAsia="Arial" w:hAnsi="Arial"/>
          <w:b/>
          <w:bCs/>
          <w:sz w:val="22"/>
          <w:szCs w:val="22"/>
        </w:rPr>
        <w:t xml:space="preserve">SOP Compliance Checker: </w:t>
      </w:r>
      <w:r>
        <w:rPr>
          <w:rFonts w:ascii="Arial" w:cs="Arial" w:eastAsia="Arial" w:hAnsi="Arial"/>
          <w:sz w:val="22"/>
          <w:szCs w:val="22"/>
        </w:rPr>
        <w:t xml:space="preserve">For organizations with Standard Operating Procedures governing deployment workflows (e.g., requiring canary deployments, requiring approval gates for production, mandating rollback plans), the governance gate verifies that the AI’s execution plan includes all required SOP steps. SOPs are encoded as structured rule sets that the governance engine evaluates—not as natural language that the AI interprets.</w:t>
      </w:r>
    </w:p>
    <w:p>
      <w:pPr>
        <w:spacing w:after="120"/>
      </w:pPr>
      <w:r>
        <w:rPr>
          <w:rFonts w:ascii="Arial" w:cs="Arial" w:eastAsia="Arial" w:hAnsi="Arial"/>
          <w:b/>
          <w:bCs/>
          <w:sz w:val="22"/>
          <w:szCs w:val="22"/>
        </w:rPr>
        <w:t xml:space="preserve">Resource Existence Validator: </w:t>
      </w:r>
      <w:r>
        <w:rPr>
          <w:rFonts w:ascii="Arial" w:cs="Arial" w:eastAsia="Arial" w:hAnsi="Arial"/>
          <w:sz w:val="22"/>
          <w:szCs w:val="22"/>
        </w:rPr>
        <w:t xml:space="preserve">The plan is checked against the actual resource inventory (via cloud APIs) to confirm that every resource referenced in the plan actually exists and is accessible. This catches hallucinated resources—a common AI failure mode where the agent references infrastructure, APIs, or endpoints that do not exist.</w:t>
      </w:r>
    </w:p>
    <w:p>
      <w:pPr>
        <w:pStyle w:val="Heading3"/>
      </w:pPr>
      <w:r>
        <w:rPr>
          <w:rFonts w:ascii="Arial" w:cs="Arial" w:eastAsia="Arial" w:hAnsi="Arial"/>
        </w:rPr>
        <w:t xml:space="preserve">5.4.3 Independent Plan Verification (Layer 3)</w:t>
      </w:r>
    </w:p>
    <w:p>
      <w:pPr>
        <w:spacing w:after="120"/>
      </w:pPr>
      <w:r>
        <w:rPr>
          <w:rFonts w:ascii="Arial" w:cs="Arial" w:eastAsia="Arial" w:hAnsi="Arial"/>
          <w:b w:val="false"/>
          <w:bCs w:val="false"/>
          <w:i w:val="false"/>
          <w:iCs w:val="false"/>
          <w:sz w:val="22"/>
          <w:szCs w:val="22"/>
        </w:rPr>
        <w:t xml:space="preserve">A critical architectural principle: the governance gate uses a separate verification model (or deterministic rule engine) that is architecturally independent from the AI agent that generated the plan. This separation ensures that:</w:t>
      </w:r>
    </w:p>
    <w:p>
      <w:pPr>
        <w:pStyle w:val="ListParagraph"/>
        <w:numPr>
          <w:ilvl w:val="0"/>
          <w:numId w:val="9"/>
        </w:numPr>
        <w:spacing w:after="80"/>
      </w:pPr>
      <w:r>
        <w:rPr>
          <w:rFonts w:ascii="Arial" w:cs="Arial" w:eastAsia="Arial" w:hAnsi="Arial"/>
          <w:sz w:val="22"/>
          <w:szCs w:val="22"/>
        </w:rPr>
        <w:t xml:space="preserve">The planning model’s hallucinations or misinterpretations cannot pass through unchecked.</w:t>
      </w:r>
    </w:p>
    <w:p>
      <w:pPr>
        <w:pStyle w:val="ListParagraph"/>
        <w:numPr>
          <w:ilvl w:val="0"/>
          <w:numId w:val="9"/>
        </w:numPr>
        <w:spacing w:after="80"/>
      </w:pPr>
      <w:r>
        <w:rPr>
          <w:rFonts w:ascii="Arial" w:cs="Arial" w:eastAsia="Arial" w:hAnsi="Arial"/>
          <w:sz w:val="22"/>
          <w:szCs w:val="22"/>
        </w:rPr>
        <w:t xml:space="preserve">Adversarial prompt injection that compromises the planning agent does not also compromise the verifier.</w:t>
      </w:r>
    </w:p>
    <w:p>
      <w:pPr>
        <w:pStyle w:val="ListParagraph"/>
        <w:numPr>
          <w:ilvl w:val="0"/>
          <w:numId w:val="9"/>
        </w:numPr>
        <w:spacing w:after="80"/>
      </w:pPr>
      <w:r>
        <w:rPr>
          <w:rFonts w:ascii="Arial" w:cs="Arial" w:eastAsia="Arial" w:hAnsi="Arial"/>
          <w:sz w:val="22"/>
          <w:szCs w:val="22"/>
        </w:rPr>
        <w:t xml:space="preserve">The verification logic can be deterministic (rule-based) for high-consequence actions, avoiding AI-specific failure modes entirely.</w:t>
      </w:r>
    </w:p>
    <w:p>
      <w:pPr>
        <w:spacing w:after="120"/>
      </w:pPr>
      <w:r>
        <w:rPr>
          <w:rFonts w:ascii="Arial" w:cs="Arial" w:eastAsia="Arial" w:hAnsi="Arial"/>
          <w:b w:val="false"/>
          <w:bCs w:val="false"/>
          <w:i w:val="false"/>
          <w:iCs w:val="false"/>
          <w:sz w:val="22"/>
          <w:szCs w:val="22"/>
        </w:rPr>
        <w:t xml:space="preserve">This is analogous to the inspector general function in military organizations—the verifier does not report to the entity being verified.</w:t>
      </w:r>
    </w:p>
    <w:p>
      <w:pPr>
        <w:pStyle w:val="Heading3"/>
      </w:pPr>
      <w:r>
        <w:rPr>
          <w:rFonts w:ascii="Arial" w:cs="Arial" w:eastAsia="Arial" w:hAnsi="Arial"/>
        </w:rPr>
        <w:t xml:space="preserve">5.4.4 Cloud-Native Integration Architecture</w:t>
      </w:r>
    </w:p>
    <w:p>
      <w:pPr>
        <w:spacing w:after="120"/>
      </w:pPr>
      <w:r>
        <w:rPr>
          <w:rFonts w:ascii="Arial" w:cs="Arial" w:eastAsia="Arial" w:hAnsi="Arial"/>
          <w:b w:val="false"/>
          <w:bCs w:val="false"/>
          <w:i w:val="false"/>
          <w:iCs w:val="false"/>
          <w:sz w:val="22"/>
          <w:szCs w:val="22"/>
        </w:rPr>
        <w:t xml:space="preserve">The governance framework is designed to integrate with existing cloud security infrastructure rather than replacing it:</w:t>
      </w:r>
    </w:p>
    <w:p>
      <w:pPr>
        <w:pStyle w:val="ListParagraph"/>
        <w:numPr>
          <w:ilvl w:val="0"/>
          <w:numId w:val="10"/>
        </w:numPr>
        <w:spacing w:after="80"/>
      </w:pPr>
      <w:r>
        <w:rPr>
          <w:rFonts w:ascii="Arial" w:cs="Arial" w:eastAsia="Arial" w:hAnsi="Arial"/>
          <w:sz w:val="22"/>
          <w:szCs w:val="22"/>
        </w:rPr>
        <w:t xml:space="preserve">IAM Integration: The AI agent authenticates to cloud services using a service principal with scoped permissions, identical to how a CI/CD pipeline authenticates. The voice-authenticated user’s authorization level determines which service principal the agent may assume.</w:t>
      </w:r>
    </w:p>
    <w:p>
      <w:pPr>
        <w:pStyle w:val="ListParagraph"/>
        <w:numPr>
          <w:ilvl w:val="0"/>
          <w:numId w:val="10"/>
        </w:numPr>
        <w:spacing w:after="80"/>
      </w:pPr>
      <w:r>
        <w:rPr>
          <w:rFonts w:ascii="Arial" w:cs="Arial" w:eastAsia="Arial" w:hAnsi="Arial"/>
          <w:sz w:val="22"/>
          <w:szCs w:val="22"/>
        </w:rPr>
        <w:t xml:space="preserve">Policy Engine Integration: Governance rules are expressed in cloud-native policy languages (Azure Policy, AWS SCPs, GCP Organization Policies, OPA/Rego) and evaluated by the cloud provider’s own enforcement engine, leveraging hardened, battle-tested services.</w:t>
      </w:r>
    </w:p>
    <w:p>
      <w:pPr>
        <w:pStyle w:val="ListParagraph"/>
        <w:numPr>
          <w:ilvl w:val="0"/>
          <w:numId w:val="10"/>
        </w:numPr>
        <w:spacing w:after="80"/>
      </w:pPr>
      <w:r>
        <w:rPr>
          <w:rFonts w:ascii="Arial" w:cs="Arial" w:eastAsia="Arial" w:hAnsi="Arial"/>
          <w:sz w:val="22"/>
          <w:szCs w:val="22"/>
        </w:rPr>
        <w:t xml:space="preserve">Audit Integration: All AI agent actions are logged through cloud-native audit services (Azure Monitor / Activity Log, AWS CloudTrail, GCP Audit Logs) in addition to the blockchain ledger, providing dual-path audit capability.</w:t>
      </w:r>
    </w:p>
    <w:p>
      <w:pPr>
        <w:pStyle w:val="ListParagraph"/>
        <w:numPr>
          <w:ilvl w:val="0"/>
          <w:numId w:val="10"/>
        </w:numPr>
        <w:spacing w:after="80"/>
      </w:pPr>
      <w:r>
        <w:rPr>
          <w:rFonts w:ascii="Arial" w:cs="Arial" w:eastAsia="Arial" w:hAnsi="Arial"/>
          <w:sz w:val="22"/>
          <w:szCs w:val="22"/>
        </w:rPr>
        <w:t xml:space="preserve">Secrets Management: The AI agent never handles credentials directly; all authentication flows through cloud-native secrets management (Azure Key Vault, AWS Secrets Manager, GCP Secret Manager) with the agent’s service principal having only the minimum required access.</w:t>
      </w:r>
    </w:p>
    <w:p>
      <w:pPr>
        <w:pStyle w:val="Heading3"/>
      </w:pPr>
      <w:r>
        <w:rPr>
          <w:rFonts w:ascii="Arial" w:cs="Arial" w:eastAsia="Arial" w:hAnsi="Arial"/>
        </w:rPr>
        <w:t xml:space="preserve">5.4.5 Bounded Execution Runtime (Layer 4)</w:t>
      </w:r>
    </w:p>
    <w:p>
      <w:pPr>
        <w:spacing w:after="120"/>
      </w:pPr>
      <w:r>
        <w:rPr>
          <w:rFonts w:ascii="Arial" w:cs="Arial" w:eastAsia="Arial" w:hAnsi="Arial"/>
          <w:b w:val="false"/>
          <w:bCs w:val="false"/>
          <w:i w:val="false"/>
          <w:iCs w:val="false"/>
          <w:sz w:val="22"/>
          <w:szCs w:val="22"/>
        </w:rPr>
        <w:t xml:space="preserve">Once a plan passes the governance gate, execution occurs within a bounded runtime environment:</w:t>
      </w:r>
    </w:p>
    <w:p>
      <w:pPr>
        <w:spacing w:after="120"/>
      </w:pPr>
      <w:r>
        <w:rPr>
          <w:rFonts w:ascii="Arial" w:cs="Arial" w:eastAsia="Arial" w:hAnsi="Arial"/>
          <w:b/>
          <w:bCs/>
          <w:sz w:val="22"/>
          <w:szCs w:val="22"/>
        </w:rPr>
        <w:t xml:space="preserve">Sandboxed Execution: </w:t>
      </w:r>
      <w:r>
        <w:rPr>
          <w:rFonts w:ascii="Arial" w:cs="Arial" w:eastAsia="Arial" w:hAnsi="Arial"/>
          <w:sz w:val="22"/>
          <w:szCs w:val="22"/>
        </w:rPr>
        <w:t xml:space="preserve">The AI agent executes within a constrained runtime (container, VM, or serverless function) with network policies, filesystem restrictions, and API access controls that mirror the plan’s approved scope. Any attempt to access resources or APIs not in the approved plan is blocked at the infrastructure level.</w:t>
      </w:r>
    </w:p>
    <w:p>
      <w:pPr>
        <w:spacing w:after="120"/>
      </w:pPr>
      <w:r>
        <w:rPr>
          <w:rFonts w:ascii="Arial" w:cs="Arial" w:eastAsia="Arial" w:hAnsi="Arial"/>
          <w:b/>
          <w:bCs/>
          <w:sz w:val="22"/>
          <w:szCs w:val="22"/>
        </w:rPr>
        <w:t xml:space="preserve">Step-by-Step Monitoring: </w:t>
      </w:r>
      <w:r>
        <w:rPr>
          <w:rFonts w:ascii="Arial" w:cs="Arial" w:eastAsia="Arial" w:hAnsi="Arial"/>
          <w:sz w:val="22"/>
          <w:szCs w:val="22"/>
        </w:rPr>
        <w:t xml:space="preserve">Each step of the execution plan is monitored for drift—deviation from the approved plan. If the agent attempts an action not in the plan, or if an action produces unexpected results (e.g., an API returns an error, a resource is in an unexpected state), execution pauses and the system either rolls back or requests human re-confirmation via a QRNG-challenged voice prompt.</w:t>
      </w:r>
    </w:p>
    <w:p>
      <w:pPr>
        <w:spacing w:after="120"/>
      </w:pPr>
      <w:r>
        <w:rPr>
          <w:rFonts w:ascii="Arial" w:cs="Arial" w:eastAsia="Arial" w:hAnsi="Arial"/>
          <w:b/>
          <w:bCs/>
          <w:sz w:val="22"/>
          <w:szCs w:val="22"/>
        </w:rPr>
        <w:t xml:space="preserve">Tiered Confirmation: </w:t>
      </w:r>
      <w:r>
        <w:rPr>
          <w:rFonts w:ascii="Arial" w:cs="Arial" w:eastAsia="Arial" w:hAnsi="Arial"/>
          <w:sz w:val="22"/>
          <w:szCs w:val="22"/>
        </w:rPr>
        <w:t xml:space="preserve">Actions are classified by risk tier, with escalating confirmation requirements: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Actions</w:t>
            </w:r>
          </w:p>
        </w:tc>
        <w:tc>
          <w:tcPr>
            <w:tcW w:type="dxa" w:w="2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Requirement</w:t>
            </w:r>
          </w:p>
        </w:tc>
        <w:tc>
          <w:tcPr>
            <w:tcW w:type="dxa" w:w="2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Governance Requirement</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Query status, read logs, list resources</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Initial voice auth</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Basic scope check</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Stage deployment, create non-prod resources</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Continuous behavioral auth</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Full governance gate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Deploy to production, execute transactions</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Continuous auth + QRNG micro-challenge</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Governance gate + SOP compliance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Modify IAM, override safety, delete data</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QRNG challenge + time-delayed re-confirm</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Full gate + human approval workflow</w:t>
            </w:r>
          </w:p>
        </w:tc>
      </w:tr>
    </w:tbl>
    <w:p>
      <w:pPr>
        <w:spacing w:after="200"/>
      </w:pPr>
    </w:p>
    <w:p>
      <w:pPr>
        <w:pStyle w:val="Heading2"/>
      </w:pPr>
      <w:r>
        <w:rPr>
          <w:rFonts w:ascii="Arial" w:cs="Arial" w:eastAsia="Arial" w:hAnsi="Arial"/>
        </w:rPr>
        <w:t xml:space="preserve">5.5 End-to-End Chain of Trust (All Layers)</w:t>
      </w:r>
    </w:p>
    <w:p>
      <w:pPr>
        <w:spacing w:after="120"/>
      </w:pPr>
      <w:r>
        <w:rPr>
          <w:rFonts w:ascii="Arial" w:cs="Arial" w:eastAsia="Arial" w:hAnsi="Arial"/>
          <w:b w:val="false"/>
          <w:bCs w:val="false"/>
          <w:i w:val="false"/>
          <w:iCs w:val="false"/>
          <w:sz w:val="22"/>
          <w:szCs w:val="22"/>
        </w:rPr>
        <w:t xml:space="preserve">The complete system records the following chain on the distributed ledger, with each step cryptographically linked to its predecessor:</w:t>
      </w:r>
    </w:p>
    <w:p>
      <w:pPr>
        <w:pStyle w:val="ListParagraph"/>
        <w:numPr>
          <w:ilvl w:val="0"/>
          <w:numId w:val="11"/>
        </w:numPr>
        <w:spacing w:after="80"/>
      </w:pPr>
      <w:r>
        <w:rPr>
          <w:rFonts w:ascii="Arial" w:cs="Arial" w:eastAsia="Arial" w:hAnsi="Arial"/>
          <w:sz w:val="22"/>
          <w:szCs w:val="22"/>
        </w:rPr>
        <w:t xml:space="preserve">Voice Command Receipt: Authenticated speaker identity, confidence score, twin-pair flag, QRNG challenge used, behavioral feature hash.</w:t>
      </w:r>
    </w:p>
    <w:p>
      <w:pPr>
        <w:pStyle w:val="ListParagraph"/>
        <w:numPr>
          <w:ilvl w:val="0"/>
          <w:numId w:val="11"/>
        </w:numPr>
        <w:spacing w:after="80"/>
      </w:pPr>
      <w:r>
        <w:rPr>
          <w:rFonts w:ascii="Arial" w:cs="Arial" w:eastAsia="Arial" w:hAnsi="Arial"/>
          <w:sz w:val="22"/>
          <w:szCs w:val="22"/>
        </w:rPr>
        <w:t xml:space="preserve">Intent Interpretation: AI agent’s parsed understanding of the command, structured as a formal intent object (action, target, scope, constraints). Hash recorded.</w:t>
      </w:r>
    </w:p>
    <w:p>
      <w:pPr>
        <w:pStyle w:val="ListParagraph"/>
        <w:numPr>
          <w:ilvl w:val="0"/>
          <w:numId w:val="11"/>
        </w:numPr>
        <w:spacing w:after="80"/>
      </w:pPr>
      <w:r>
        <w:rPr>
          <w:rFonts w:ascii="Arial" w:cs="Arial" w:eastAsia="Arial" w:hAnsi="Arial"/>
          <w:sz w:val="22"/>
          <w:szCs w:val="22"/>
        </w:rPr>
        <w:t xml:space="preserve">Execution Plan: The specific steps the agent intends to execute, including resource references, API calls, and expected outcomes. Hash recorded.</w:t>
      </w:r>
    </w:p>
    <w:p>
      <w:pPr>
        <w:pStyle w:val="ListParagraph"/>
        <w:numPr>
          <w:ilvl w:val="0"/>
          <w:numId w:val="11"/>
        </w:numPr>
        <w:spacing w:after="80"/>
      </w:pPr>
      <w:r>
        <w:rPr>
          <w:rFonts w:ascii="Arial" w:cs="Arial" w:eastAsia="Arial" w:hAnsi="Arial"/>
          <w:sz w:val="22"/>
          <w:szCs w:val="22"/>
        </w:rPr>
        <w:t xml:space="preserve">Governance Validation: The policy evaluation result—which rules were checked, which passed, which triggered modifications to the plan. Full result hash recorded.</w:t>
      </w:r>
    </w:p>
    <w:p>
      <w:pPr>
        <w:pStyle w:val="ListParagraph"/>
        <w:numPr>
          <w:ilvl w:val="0"/>
          <w:numId w:val="11"/>
        </w:numPr>
        <w:spacing w:after="80"/>
      </w:pPr>
      <w:r>
        <w:rPr>
          <w:rFonts w:ascii="Arial" w:cs="Arial" w:eastAsia="Arial" w:hAnsi="Arial"/>
          <w:sz w:val="22"/>
          <w:szCs w:val="22"/>
        </w:rPr>
        <w:t xml:space="preserve">Human Confirmation: For tier-appropriate actions, the voice re-confirmation event with its own QRNG challenge and behavioral auth score. Hash recorded.</w:t>
      </w:r>
    </w:p>
    <w:p>
      <w:pPr>
        <w:pStyle w:val="ListParagraph"/>
        <w:numPr>
          <w:ilvl w:val="0"/>
          <w:numId w:val="11"/>
        </w:numPr>
        <w:spacing w:after="80"/>
      </w:pPr>
      <w:r>
        <w:rPr>
          <w:rFonts w:ascii="Arial" w:cs="Arial" w:eastAsia="Arial" w:hAnsi="Arial"/>
          <w:sz w:val="22"/>
          <w:szCs w:val="22"/>
        </w:rPr>
        <w:t xml:space="preserve">Execution Log: Each action taken by the agent, with timestamps, API responses, and resource state changes. Incremental hashes recorded per step.</w:t>
      </w:r>
    </w:p>
    <w:p>
      <w:pPr>
        <w:pStyle w:val="ListParagraph"/>
        <w:numPr>
          <w:ilvl w:val="0"/>
          <w:numId w:val="11"/>
        </w:numPr>
        <w:spacing w:after="80"/>
      </w:pPr>
      <w:r>
        <w:rPr>
          <w:rFonts w:ascii="Arial" w:cs="Arial" w:eastAsia="Arial" w:hAnsi="Arial"/>
          <w:sz w:val="22"/>
          <w:szCs w:val="22"/>
        </w:rPr>
        <w:t xml:space="preserve">Post-Execution Verification: Comparison of actual outcomes against planned outcomes, with any drift flagged and recorded.</w:t>
      </w:r>
    </w:p>
    <w:p>
      <w:pPr>
        <w:pStyle w:val="ListParagraph"/>
        <w:numPr>
          <w:ilvl w:val="0"/>
          <w:numId w:val="11"/>
        </w:numPr>
        <w:spacing w:after="80"/>
      </w:pPr>
      <w:r>
        <w:rPr>
          <w:rFonts w:ascii="Arial" w:cs="Arial" w:eastAsia="Arial" w:hAnsi="Arial"/>
          <w:sz w:val="22"/>
          <w:szCs w:val="22"/>
        </w:rPr>
        <w:t xml:space="preserve">Outcome State Hash: A cryptographic hash of the final system state after all actions complete, enabling independent verification.</w:t>
      </w:r>
    </w:p>
    <w:p>
      <w:pPr>
        <w:spacing w:after="120"/>
      </w:pPr>
      <w:r>
        <w:rPr>
          <w:rFonts w:ascii="Arial" w:cs="Arial" w:eastAsia="Arial" w:hAnsi="Arial"/>
          <w:b w:val="false"/>
          <w:bCs w:val="false"/>
          <w:i w:val="false"/>
          <w:iCs w:val="false"/>
          <w:sz w:val="22"/>
          <w:szCs w:val="22"/>
        </w:rPr>
        <w:t xml:space="preserve">This chain enables complete forensic reconstruction: if something goes wrong, auditors can trace backward from the failure to determine whether the root cause was misidentification (Layer 1), intent misinterpretation (Layer 3), plan error (Layer 3), governance failure (Layer 3), execution drift (Layer 4), or an external factor.</w:t>
      </w:r>
    </w:p>
    <w:p>
      <w:r>
        <w:br w:type="page"/>
      </w:r>
    </w:p>
    <w:p>
      <w:pPr>
        <w:pStyle w:val="Heading1"/>
      </w:pPr>
      <w:r>
        <w:rPr>
          <w:rFonts w:ascii="Arial" w:cs="Arial" w:eastAsia="Arial" w:hAnsi="Arial"/>
        </w:rPr>
        <w:t xml:space="preserve">6. Preliminary Claim Outline</w:t>
      </w:r>
    </w:p>
    <w:p>
      <w:pPr>
        <w:spacing w:after="120"/>
      </w:pPr>
      <w:r>
        <w:rPr>
          <w:rFonts w:ascii="Arial" w:cs="Arial" w:eastAsia="Arial" w:hAnsi="Arial"/>
          <w:b w:val="false"/>
          <w:bCs w:val="false"/>
          <w:i/>
          <w:iCs/>
          <w:sz w:val="22"/>
          <w:szCs w:val="22"/>
        </w:rPr>
        <w:t xml:space="preserve">The following outlines potential patent claims at varying levels of abstraction. These are preliminary and subject to refinement by patent counsel.</w:t>
      </w:r>
    </w:p>
    <w:p>
      <w:pPr>
        <w:spacing w:after="100"/>
      </w:pPr>
    </w:p>
    <w:p>
      <w:pPr>
        <w:spacing w:after="120"/>
      </w:pPr>
      <w:r>
        <w:rPr>
          <w:rFonts w:ascii="Arial" w:cs="Arial" w:eastAsia="Arial" w:hAnsi="Arial"/>
          <w:b/>
          <w:bCs/>
          <w:sz w:val="22"/>
          <w:szCs w:val="22"/>
        </w:rPr>
        <w:t xml:space="preserve">Claim 1 (System — Broadest): </w:t>
      </w:r>
      <w:r>
        <w:rPr>
          <w:rFonts w:ascii="Arial" w:cs="Arial" w:eastAsia="Arial" w:hAnsi="Arial"/>
          <w:sz w:val="22"/>
          <w:szCs w:val="22"/>
        </w:rPr>
        <w:t xml:space="preserve">A voice-authenticated autonomous action governance system comprising: (a) an AI subsystem that extracts behavioral vocal features from a speaker utterance and generates structured execution plans for automation actions; (b) a quantum computing subsystem that evaluates speaker similarity via a quantum kernel, generates unpredictable challenge prompts via QRNG, and performs anomaly detection on execution plans; (c) a governance subsystem that validates execution plans against policy constraints, scope boundaries, and standard operating procedures using an architecturally independent verification engine; and (d) a distributed ledger subsystem that records the complete chain of trust from voice authentication through execution outcome.</w:t>
      </w:r>
    </w:p>
    <w:p>
      <w:pPr>
        <w:spacing w:after="80"/>
      </w:pPr>
    </w:p>
    <w:p>
      <w:pPr>
        <w:spacing w:after="120"/>
      </w:pPr>
      <w:r>
        <w:rPr>
          <w:rFonts w:ascii="Arial" w:cs="Arial" w:eastAsia="Arial" w:hAnsi="Arial"/>
          <w:b/>
          <w:bCs/>
          <w:sz w:val="22"/>
          <w:szCs w:val="22"/>
        </w:rPr>
        <w:t xml:space="preserve">Claim 2 (Method — Full Pipeline): </w:t>
      </w:r>
      <w:r>
        <w:rPr>
          <w:rFonts w:ascii="Arial" w:cs="Arial" w:eastAsia="Arial" w:hAnsi="Arial"/>
          <w:sz w:val="22"/>
          <w:szCs w:val="22"/>
        </w:rPr>
        <w:t xml:space="preserve">A method for governing voice-commanded AI automation comprising: authenticating a speaker using quantum-enhanced behavioral voice biometrics; continuously monitoring speaker identity throughout a command session; generating a structured execution plan via an AI agent; validating said plan against IAM policies, scope constraints, and SOPs using a verification engine independent of the planning agent; executing the validated plan within a bounded runtime with step-by-step drift monitoring; and recording each stage on a distributed ledger as a cryptographically linked chain of trust.</w:t>
      </w:r>
    </w:p>
    <w:p>
      <w:pPr>
        <w:spacing w:after="80"/>
      </w:pPr>
    </w:p>
    <w:p>
      <w:pPr>
        <w:spacing w:after="120"/>
      </w:pPr>
      <w:r>
        <w:rPr>
          <w:rFonts w:ascii="Arial" w:cs="Arial" w:eastAsia="Arial" w:hAnsi="Arial"/>
          <w:b/>
          <w:bCs/>
          <w:sz w:val="22"/>
          <w:szCs w:val="22"/>
        </w:rPr>
        <w:t xml:space="preserve">Claim 3 (Twin Discrimination): </w:t>
      </w:r>
      <w:r>
        <w:rPr>
          <w:rFonts w:ascii="Arial" w:cs="Arial" w:eastAsia="Arial" w:hAnsi="Arial"/>
          <w:sz w:val="22"/>
          <w:szCs w:val="22"/>
        </w:rPr>
        <w:t xml:space="preserve">The system of Claim 1, wherein the AI subsystem extracts behavioral vocal features including micro-prosodic patterns, articulatory dynamics, cognitive-linguistic signatures, and emotional expression patterns; encodes said features as hyperdimensional vectors; and the quantum kernel evaluates similarity in a Hilbert space to discriminate between genetically identical speakers.</w:t>
      </w:r>
    </w:p>
    <w:p>
      <w:pPr>
        <w:spacing w:after="80"/>
      </w:pPr>
    </w:p>
    <w:p>
      <w:pPr>
        <w:spacing w:after="120"/>
      </w:pPr>
      <w:r>
        <w:rPr>
          <w:rFonts w:ascii="Arial" w:cs="Arial" w:eastAsia="Arial" w:hAnsi="Arial"/>
          <w:b/>
          <w:bCs/>
          <w:sz w:val="22"/>
          <w:szCs w:val="22"/>
        </w:rPr>
        <w:t xml:space="preserve">Claim 4 (Governance Gate): </w:t>
      </w:r>
      <w:r>
        <w:rPr>
          <w:rFonts w:ascii="Arial" w:cs="Arial" w:eastAsia="Arial" w:hAnsi="Arial"/>
          <w:sz w:val="22"/>
          <w:szCs w:val="22"/>
        </w:rPr>
        <w:t xml:space="preserve">The system of Claim 1, wherein the governance subsystem comprises a policy enforcement engine that integrates with cloud-native IAM and policy services, a scope constraint validator, an SOP compliance checker, and a resource existence validator that confirms all referenced resources exist via cloud API interrogation.</w:t>
      </w:r>
    </w:p>
    <w:p>
      <w:pPr>
        <w:spacing w:after="80"/>
      </w:pPr>
    </w:p>
    <w:p>
      <w:pPr>
        <w:spacing w:after="120"/>
      </w:pPr>
      <w:r>
        <w:rPr>
          <w:rFonts w:ascii="Arial" w:cs="Arial" w:eastAsia="Arial" w:hAnsi="Arial"/>
          <w:b/>
          <w:bCs/>
          <w:sz w:val="22"/>
          <w:szCs w:val="22"/>
        </w:rPr>
        <w:t xml:space="preserve">Claim 5 (Bounded Execution): </w:t>
      </w:r>
      <w:r>
        <w:rPr>
          <w:rFonts w:ascii="Arial" w:cs="Arial" w:eastAsia="Arial" w:hAnsi="Arial"/>
          <w:sz w:val="22"/>
          <w:szCs w:val="22"/>
        </w:rPr>
        <w:t xml:space="preserve">The system of Claim 1, wherein the AI agent executes within a sandboxed runtime with infrastructure-level constraints mirroring the approved execution plan, and wherein execution pauses and requests voice re-confirmation via QRNG challenge upon detection of plan drift or unexpected resource states.</w:t>
      </w:r>
    </w:p>
    <w:p>
      <w:pPr>
        <w:spacing w:after="80"/>
      </w:pPr>
    </w:p>
    <w:p>
      <w:pPr>
        <w:spacing w:after="120"/>
      </w:pPr>
      <w:r>
        <w:rPr>
          <w:rFonts w:ascii="Arial" w:cs="Arial" w:eastAsia="Arial" w:hAnsi="Arial"/>
          <w:b/>
          <w:bCs/>
          <w:sz w:val="22"/>
          <w:szCs w:val="22"/>
        </w:rPr>
        <w:t xml:space="preserve">Claim 6 (Pipeline Equivalence): </w:t>
      </w:r>
      <w:r>
        <w:rPr>
          <w:rFonts w:ascii="Arial" w:cs="Arial" w:eastAsia="Arial" w:hAnsi="Arial"/>
          <w:sz w:val="22"/>
          <w:szCs w:val="22"/>
        </w:rPr>
        <w:t xml:space="preserve">The system of Claim 1, wherein the AI agent authenticates to cloud services via a scoped service principal, and wherein the agent’s authorization level is determined by the voice-authenticated user’s IAM role, such that the AI agent operates under equivalent security constraints to a deterministic CI/CD pipeline.</w:t>
      </w:r>
    </w:p>
    <w:p>
      <w:pPr>
        <w:spacing w:after="80"/>
      </w:pPr>
    </w:p>
    <w:p>
      <w:pPr>
        <w:spacing w:after="120"/>
      </w:pPr>
      <w:r>
        <w:rPr>
          <w:rFonts w:ascii="Arial" w:cs="Arial" w:eastAsia="Arial" w:hAnsi="Arial"/>
          <w:b/>
          <w:bCs/>
          <w:sz w:val="22"/>
          <w:szCs w:val="22"/>
        </w:rPr>
        <w:t xml:space="preserve">Claim 7 (Quantum Kernel + HDC): </w:t>
      </w:r>
      <w:r>
        <w:rPr>
          <w:rFonts w:ascii="Arial" w:cs="Arial" w:eastAsia="Arial" w:hAnsi="Arial"/>
          <w:sz w:val="22"/>
          <w:szCs w:val="22"/>
        </w:rPr>
        <w:t xml:space="preserve">The system of Claim 3, wherein behavioral features are encoded into hyperdimensional vectors of dimensionality 2,000 to 4,000, and the quantum kernel operates on a dimensionality-reduced representation of said vectors, with a joint loss function optimizing simultaneously for speaker discrimination and liveness detection.</w:t>
      </w:r>
    </w:p>
    <w:p>
      <w:pPr>
        <w:spacing w:after="80"/>
      </w:pPr>
    </w:p>
    <w:p>
      <w:pPr>
        <w:spacing w:after="120"/>
      </w:pPr>
      <w:r>
        <w:rPr>
          <w:rFonts w:ascii="Arial" w:cs="Arial" w:eastAsia="Arial" w:hAnsi="Arial"/>
          <w:b/>
          <w:bCs/>
          <w:sz w:val="22"/>
          <w:szCs w:val="22"/>
        </w:rPr>
        <w:t xml:space="preserve">Claim 8 (Continuous Session Auth): </w:t>
      </w:r>
      <w:r>
        <w:rPr>
          <w:rFonts w:ascii="Arial" w:cs="Arial" w:eastAsia="Arial" w:hAnsi="Arial"/>
          <w:sz w:val="22"/>
          <w:szCs w:val="22"/>
        </w:rPr>
        <w:t xml:space="preserve">The system of Claim 1, further comprising continuous behavioral authentication during the command session, wherein the AI subsystem monitors voice characteristics throughout and triggers session termination or re-authentication if behavioral consistency falls below a threshold.</w:t>
      </w:r>
    </w:p>
    <w:p>
      <w:pPr>
        <w:spacing w:after="80"/>
      </w:pPr>
    </w:p>
    <w:p>
      <w:pPr>
        <w:spacing w:after="120"/>
      </w:pPr>
      <w:r>
        <w:rPr>
          <w:rFonts w:ascii="Arial" w:cs="Arial" w:eastAsia="Arial" w:hAnsi="Arial"/>
          <w:b/>
          <w:bCs/>
          <w:sz w:val="22"/>
          <w:szCs w:val="22"/>
        </w:rPr>
        <w:t xml:space="preserve">Claim 9 (Tiered Confirmation): </w:t>
      </w:r>
      <w:r>
        <w:rPr>
          <w:rFonts w:ascii="Arial" w:cs="Arial" w:eastAsia="Arial" w:hAnsi="Arial"/>
          <w:sz w:val="22"/>
          <w:szCs w:val="22"/>
        </w:rPr>
        <w:t xml:space="preserve">The system of Claim 1, wherein automation actions are classified into risk tiers, and each tier requires escalating authentication and governance validation, with critical-tier actions requiring QRNG voice challenge, time-delayed execution, and human approval workflow.</w:t>
      </w:r>
    </w:p>
    <w:p>
      <w:pPr>
        <w:spacing w:after="80"/>
      </w:pPr>
    </w:p>
    <w:p>
      <w:pPr>
        <w:spacing w:after="120"/>
      </w:pPr>
      <w:r>
        <w:rPr>
          <w:rFonts w:ascii="Arial" w:cs="Arial" w:eastAsia="Arial" w:hAnsi="Arial"/>
          <w:b/>
          <w:bCs/>
          <w:sz w:val="22"/>
          <w:szCs w:val="22"/>
        </w:rPr>
        <w:t xml:space="preserve">Claim 10 (Chain of Trust Ledger): </w:t>
      </w:r>
      <w:r>
        <w:rPr>
          <w:rFonts w:ascii="Arial" w:cs="Arial" w:eastAsia="Arial" w:hAnsi="Arial"/>
          <w:sz w:val="22"/>
          <w:szCs w:val="22"/>
        </w:rPr>
        <w:t xml:space="preserve">A method for providing end-to-end auditability of voice-commanded automation comprising recording on a distributed ledger: the voice authentication event, the parsed intent object, the execution plan, the governance validation result, any human confirmation events, the step-by-step execution log, and the outcome state hash, with each record cryptographically linked to its predecessor.</w:t>
      </w:r>
    </w:p>
    <w:p>
      <w:r>
        <w:br w:type="page"/>
      </w:r>
    </w:p>
    <w:p>
      <w:pPr>
        <w:pStyle w:val="Heading1"/>
      </w:pPr>
      <w:r>
        <w:rPr>
          <w:rFonts w:ascii="Arial" w:cs="Arial" w:eastAsia="Arial" w:hAnsi="Arial"/>
        </w:rPr>
        <w:t xml:space="preserve">7. Prior Art Differentiation</w:t>
      </w:r>
    </w:p>
    <w:p>
      <w:pPr>
        <w:spacing w:after="120"/>
      </w:pPr>
      <w:r>
        <w:rPr>
          <w:rFonts w:ascii="Arial" w:cs="Arial" w:eastAsia="Arial" w:hAnsi="Arial"/>
          <w:b w:val="false"/>
          <w:bCs w:val="false"/>
          <w:i/>
          <w:iCs/>
          <w:sz w:val="22"/>
          <w:szCs w:val="22"/>
        </w:rPr>
        <w:t xml:space="preserve">A formal prior art search is required. Preliminary differentiation based on the inventor’s domain knowledge: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 Art Category</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Exists</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This Invention Differs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Twin voice discrimination</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Enhanced MFCCs, prosodic features, deep embeddings for twin pairs</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Quantum kernel finds separation in classically inaccessible spaces; behavioral (not anatomical) features; blockchain trust layer</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Quantum ML classification</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Quantum kernels and VQAs for general classification</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Specific voice biometric application with HDC integration; joint verification + liveness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Blockchain + biometrics</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Hash storage for biometric identity management</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Active governance role: smart contracts adjust thresholds and enforce SOPs, not just storage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Voice anti-spoofing</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Separate anti-spoofing classifiers</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Unified: liveness detection from quantum kernel geometry, not bolt-on module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CI/CD pipeline security</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IAM, SCPs, OPA for Terraform/GH Actions</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Extends same model to AI agents with voice auth, continuous session monitoring, and QRNG challenges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AI agent governance</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Prompt guardrails, output filtering, RLHF alignment</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Infrastructure-level bounded execution with policy gates independent of the AI model; deterministic governance, not probabilistic</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Voice-controlled automation</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Alexa/Siri/Google smart home commands; voice-activated IVR</w:t>
            </w:r>
          </w:p>
        </w:tc>
        <w:tc>
          <w:tcPr>
            <w:tcW w:type="dxa" w:w="3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Full chain of trust with quantum auth, governance gate, bounded execution, and blockchain audit; enterprise/defense grade</w:t>
            </w:r>
          </w:p>
        </w:tc>
      </w:tr>
    </w:tbl>
    <w:p>
      <w:pPr>
        <w:spacing w:after="200"/>
      </w:pPr>
    </w:p>
    <w:p>
      <w:pPr>
        <w:pStyle w:val="Heading1"/>
      </w:pPr>
      <w:r>
        <w:rPr>
          <w:rFonts w:ascii="Arial" w:cs="Arial" w:eastAsia="Arial" w:hAnsi="Arial"/>
        </w:rPr>
        <w:t xml:space="preserve">8. Proof of Concept Experimental Plan</w:t>
      </w:r>
    </w:p>
    <w:p>
      <w:pPr>
        <w:pStyle w:val="ListParagraph"/>
        <w:numPr>
          <w:ilvl w:val="0"/>
          <w:numId w:val="12"/>
        </w:numPr>
        <w:spacing w:after="100"/>
      </w:pPr>
      <w:r>
        <w:rPr>
          <w:rFonts w:ascii="Arial" w:cs="Arial" w:eastAsia="Arial" w:hAnsi="Arial"/>
          <w:b/>
          <w:bCs/>
          <w:sz w:val="22"/>
          <w:szCs w:val="22"/>
        </w:rPr>
        <w:t xml:space="preserve">Behavioral Feature Discrimination: </w:t>
      </w:r>
      <w:r>
        <w:rPr>
          <w:rFonts w:ascii="Arial" w:cs="Arial" w:eastAsia="Arial" w:hAnsi="Arial"/>
          <w:sz w:val="22"/>
          <w:szCs w:val="22"/>
        </w:rPr>
        <w:t xml:space="preserve">Using a twin speech dataset, extract the four behavioral feature categories and measure twin-pair EER using classical embeddings as baseline.</w:t>
      </w:r>
    </w:p>
    <w:p>
      <w:pPr>
        <w:pStyle w:val="ListParagraph"/>
        <w:numPr>
          <w:ilvl w:val="0"/>
          <w:numId w:val="12"/>
        </w:numPr>
        <w:spacing w:after="100"/>
      </w:pPr>
      <w:r>
        <w:rPr>
          <w:rFonts w:ascii="Arial" w:cs="Arial" w:eastAsia="Arial" w:hAnsi="Arial"/>
          <w:b/>
          <w:bCs/>
          <w:sz w:val="22"/>
          <w:szCs w:val="22"/>
        </w:rPr>
        <w:t xml:space="preserve">Quantum Kernel Advantage: </w:t>
      </w:r>
      <w:r>
        <w:rPr>
          <w:rFonts w:ascii="Arial" w:cs="Arial" w:eastAsia="Arial" w:hAnsi="Arial"/>
          <w:sz w:val="22"/>
          <w:szCs w:val="22"/>
        </w:rPr>
        <w:t xml:space="preserve">Using Qiskit or PennyLane, implement a PQC kernel and compare twin-pair EER against classical RBF and polynomial kernels.</w:t>
      </w:r>
    </w:p>
    <w:p>
      <w:pPr>
        <w:pStyle w:val="ListParagraph"/>
        <w:numPr>
          <w:ilvl w:val="0"/>
          <w:numId w:val="12"/>
        </w:numPr>
        <w:spacing w:after="100"/>
      </w:pPr>
      <w:r>
        <w:rPr>
          <w:rFonts w:ascii="Arial" w:cs="Arial" w:eastAsia="Arial" w:hAnsi="Arial"/>
          <w:b/>
          <w:bCs/>
          <w:sz w:val="22"/>
          <w:szCs w:val="22"/>
        </w:rPr>
        <w:t xml:space="preserve">HDC Encoding Comparison: </w:t>
      </w:r>
      <w:r>
        <w:rPr>
          <w:rFonts w:ascii="Arial" w:cs="Arial" w:eastAsia="Arial" w:hAnsi="Arial"/>
          <w:sz w:val="22"/>
          <w:szCs w:val="22"/>
        </w:rPr>
        <w:t xml:space="preserve">Compare EER for raw behavioral features vs. HDC-encoded features (D = 2,000 and D = 4,000) with both classical and quantum kernels.</w:t>
      </w:r>
    </w:p>
    <w:p>
      <w:pPr>
        <w:pStyle w:val="ListParagraph"/>
        <w:numPr>
          <w:ilvl w:val="0"/>
          <w:numId w:val="12"/>
        </w:numPr>
        <w:spacing w:after="100"/>
      </w:pPr>
      <w:r>
        <w:rPr>
          <w:rFonts w:ascii="Arial" w:cs="Arial" w:eastAsia="Arial" w:hAnsi="Arial"/>
          <w:b/>
          <w:bCs/>
          <w:sz w:val="22"/>
          <w:szCs w:val="22"/>
        </w:rPr>
        <w:t xml:space="preserve">QRNG Challenge Effectiveness: </w:t>
      </w:r>
      <w:r>
        <w:rPr>
          <w:rFonts w:ascii="Arial" w:cs="Arial" w:eastAsia="Arial" w:hAnsi="Arial"/>
          <w:sz w:val="22"/>
          <w:szCs w:val="22"/>
        </w:rPr>
        <w:t xml:space="preserve">Design linguistically targeted challenge phrases and measure behavioral feature discriminability. Optimize vocabulary for twin discrimination.</w:t>
      </w:r>
    </w:p>
    <w:p>
      <w:pPr>
        <w:pStyle w:val="ListParagraph"/>
        <w:numPr>
          <w:ilvl w:val="0"/>
          <w:numId w:val="12"/>
        </w:numPr>
        <w:spacing w:after="100"/>
      </w:pPr>
      <w:r>
        <w:rPr>
          <w:rFonts w:ascii="Arial" w:cs="Arial" w:eastAsia="Arial" w:hAnsi="Arial"/>
          <w:b/>
          <w:bCs/>
          <w:sz w:val="22"/>
          <w:szCs w:val="22"/>
        </w:rPr>
        <w:t xml:space="preserve">Governance Gate Simulation: </w:t>
      </w:r>
      <w:r>
        <w:rPr>
          <w:rFonts w:ascii="Arial" w:cs="Arial" w:eastAsia="Arial" w:hAnsi="Arial"/>
          <w:sz w:val="22"/>
          <w:szCs w:val="22"/>
        </w:rPr>
        <w:t xml:space="preserve">Implement a prototype governance gate using OPA/Rego policies and test against a corpus of AI-generated execution plans, measuring hallucination detection rate (plans referencing non-existent resources), scope violation detection rate, and SOP compliance validation accuracy.</w:t>
      </w:r>
    </w:p>
    <w:p>
      <w:pPr>
        <w:pStyle w:val="ListParagraph"/>
        <w:numPr>
          <w:ilvl w:val="0"/>
          <w:numId w:val="12"/>
        </w:numPr>
        <w:spacing w:after="100"/>
      </w:pPr>
      <w:r>
        <w:rPr>
          <w:rFonts w:ascii="Arial" w:cs="Arial" w:eastAsia="Arial" w:hAnsi="Arial"/>
          <w:b/>
          <w:bCs/>
          <w:sz w:val="22"/>
          <w:szCs w:val="22"/>
        </w:rPr>
        <w:t xml:space="preserve">End-to-End Pipeline Demo: </w:t>
      </w:r>
      <w:r>
        <w:rPr>
          <w:rFonts w:ascii="Arial" w:cs="Arial" w:eastAsia="Arial" w:hAnsi="Arial"/>
          <w:sz w:val="22"/>
          <w:szCs w:val="22"/>
        </w:rPr>
        <w:t xml:space="preserve">Build a proof-of-concept pipeline on a cloud platform (Azure or AWS) demonstrating voice auth → AI plan generation → governance gate → bounded execution → blockchain audit trail for a simple infrastructure deployment (e.g., provisioning a VM or deploying a container).</w:t>
      </w:r>
    </w:p>
    <w:p>
      <w:pPr>
        <w:spacing w:after="200"/>
      </w:pPr>
    </w:p>
    <w:p>
      <w:pPr>
        <w:pStyle w:val="Heading1"/>
      </w:pPr>
      <w:r>
        <w:rPr>
          <w:rFonts w:ascii="Arial" w:cs="Arial" w:eastAsia="Arial" w:hAnsi="Arial"/>
        </w:rPr>
        <w:t xml:space="preserve">9. Recommended Filing Strategy</w:t>
      </w:r>
    </w:p>
    <w:p>
      <w:pPr>
        <w:pStyle w:val="ListParagraph"/>
        <w:numPr>
          <w:ilvl w:val="0"/>
          <w:numId w:val="13"/>
        </w:numPr>
        <w:spacing w:after="100"/>
      </w:pPr>
      <w:r>
        <w:rPr>
          <w:rFonts w:ascii="Arial" w:cs="Arial" w:eastAsia="Arial" w:hAnsi="Arial"/>
          <w:b/>
          <w:bCs/>
          <w:sz w:val="22"/>
          <w:szCs w:val="22"/>
        </w:rPr>
        <w:t xml:space="preserve">Provisional Patent Application (Immediate): </w:t>
      </w:r>
      <w:r>
        <w:rPr>
          <w:rFonts w:ascii="Arial" w:cs="Arial" w:eastAsia="Arial" w:hAnsi="Arial"/>
          <w:sz w:val="22"/>
          <w:szCs w:val="22"/>
        </w:rPr>
        <w:t xml:space="preserve">File based on this technical disclosure to establish priority date. Cost: ~$320 (micro entity). Secures 12 months for development.</w:t>
      </w:r>
    </w:p>
    <w:p>
      <w:pPr>
        <w:pStyle w:val="ListParagraph"/>
        <w:numPr>
          <w:ilvl w:val="0"/>
          <w:numId w:val="13"/>
        </w:numPr>
        <w:spacing w:after="100"/>
      </w:pPr>
      <w:r>
        <w:rPr>
          <w:rFonts w:ascii="Arial" w:cs="Arial" w:eastAsia="Arial" w:hAnsi="Arial"/>
          <w:b/>
          <w:bCs/>
          <w:sz w:val="22"/>
          <w:szCs w:val="22"/>
        </w:rPr>
        <w:t xml:space="preserve">Prior Art Search (Months 1–2): </w:t>
      </w:r>
      <w:r>
        <w:rPr>
          <w:rFonts w:ascii="Arial" w:cs="Arial" w:eastAsia="Arial" w:hAnsi="Arial"/>
          <w:sz w:val="22"/>
          <w:szCs w:val="22"/>
        </w:rPr>
        <w:t xml:space="preserve">Formal search via Google Patents, USPTO PAIR, EPO Espacenet. Focus areas: quantum + biometrics, blockchain + voice auth, AI agent governance, voice-commanded automation.</w:t>
      </w:r>
    </w:p>
    <w:p>
      <w:pPr>
        <w:pStyle w:val="ListParagraph"/>
        <w:numPr>
          <w:ilvl w:val="0"/>
          <w:numId w:val="13"/>
        </w:numPr>
        <w:spacing w:after="100"/>
      </w:pPr>
      <w:r>
        <w:rPr>
          <w:rFonts w:ascii="Arial" w:cs="Arial" w:eastAsia="Arial" w:hAnsi="Arial"/>
          <w:b/>
          <w:bCs/>
          <w:sz w:val="22"/>
          <w:szCs w:val="22"/>
        </w:rPr>
        <w:t xml:space="preserve">Proof of Concept Experiments (Months 2–8): </w:t>
      </w:r>
      <w:r>
        <w:rPr>
          <w:rFonts w:ascii="Arial" w:cs="Arial" w:eastAsia="Arial" w:hAnsi="Arial"/>
          <w:sz w:val="22"/>
          <w:szCs w:val="22"/>
        </w:rPr>
        <w:t xml:space="preserve">Execute experimental plan (Section 8) to generate supporting data.</w:t>
      </w:r>
    </w:p>
    <w:p>
      <w:pPr>
        <w:pStyle w:val="ListParagraph"/>
        <w:numPr>
          <w:ilvl w:val="0"/>
          <w:numId w:val="13"/>
        </w:numPr>
        <w:spacing w:after="100"/>
      </w:pPr>
      <w:r>
        <w:rPr>
          <w:rFonts w:ascii="Arial" w:cs="Arial" w:eastAsia="Arial" w:hAnsi="Arial"/>
          <w:b/>
          <w:bCs/>
          <w:sz w:val="22"/>
          <w:szCs w:val="22"/>
        </w:rPr>
        <w:t xml:space="preserve">Utility Patent Application (Month 10–11): </w:t>
      </w:r>
      <w:r>
        <w:rPr>
          <w:rFonts w:ascii="Arial" w:cs="Arial" w:eastAsia="Arial" w:hAnsi="Arial"/>
          <w:sz w:val="22"/>
          <w:szCs w:val="22"/>
        </w:rPr>
        <w:t xml:space="preserve">File full non-provisional with refined claims informed by experiments and prior art.</w:t>
      </w:r>
    </w:p>
    <w:p>
      <w:pPr>
        <w:pStyle w:val="ListParagraph"/>
        <w:numPr>
          <w:ilvl w:val="0"/>
          <w:numId w:val="13"/>
        </w:numPr>
        <w:spacing w:after="100"/>
      </w:pPr>
      <w:r>
        <w:rPr>
          <w:rFonts w:ascii="Arial" w:cs="Arial" w:eastAsia="Arial" w:hAnsi="Arial"/>
          <w:b/>
          <w:bCs/>
          <w:sz w:val="22"/>
          <w:szCs w:val="22"/>
        </w:rPr>
        <w:t xml:space="preserve">Continuation Applications (Post-Filing): </w:t>
      </w:r>
      <w:r>
        <w:rPr>
          <w:rFonts w:ascii="Arial" w:cs="Arial" w:eastAsia="Arial" w:hAnsi="Arial"/>
          <w:sz w:val="22"/>
          <w:szCs w:val="22"/>
        </w:rPr>
        <w:t xml:space="preserve">Consider continuations covering: (a) classical-simulation quantum kernel variant; (b) edge-deployment configuration; (c) domain-specific applications (financial services, healthcare, defense); (d) the governance framework as a standalone patent (independent of the voice auth component).</w:t>
      </w:r>
    </w:p>
    <w:p>
      <w:pPr>
        <w:spacing w:after="200"/>
      </w:pPr>
    </w:p>
    <w:p>
      <w:pPr>
        <w:pStyle w:val="Heading1"/>
      </w:pPr>
      <w:r>
        <w:rPr>
          <w:rFonts w:ascii="Arial" w:cs="Arial" w:eastAsia="Arial" w:hAnsi="Arial"/>
        </w:rPr>
        <w:t xml:space="preserve">10. Inventor Notes and Open Questions</w:t>
      </w:r>
    </w:p>
    <w:p>
      <w:pPr>
        <w:pStyle w:val="ListParagraph"/>
        <w:numPr>
          <w:ilvl w:val="0"/>
          <w:numId w:val="14"/>
        </w:numPr>
        <w:spacing w:after="80"/>
      </w:pPr>
      <w:r>
        <w:rPr>
          <w:rFonts w:ascii="Arial" w:cs="Arial" w:eastAsia="Arial" w:hAnsi="Arial"/>
          <w:sz w:val="22"/>
          <w:szCs w:val="22"/>
        </w:rPr>
        <w:t xml:space="preserve">Quantum circuit topology selection: hardware-efficient ansatz, IQP circuits, or data-reparameterization circuits? Empirical testing needed.</w:t>
      </w:r>
    </w:p>
    <w:p>
      <w:pPr>
        <w:pStyle w:val="ListParagraph"/>
        <w:numPr>
          <w:ilvl w:val="0"/>
          <w:numId w:val="14"/>
        </w:numPr>
        <w:spacing w:after="80"/>
      </w:pPr>
      <w:r>
        <w:rPr>
          <w:rFonts w:ascii="Arial" w:cs="Arial" w:eastAsia="Arial" w:hAnsi="Arial"/>
          <w:sz w:val="22"/>
          <w:szCs w:val="22"/>
        </w:rPr>
        <w:t xml:space="preserve">Optimal HDC dimensionality: preliminary expectation 2,000–4,000 from prior work; twin-specific testing required.</w:t>
      </w:r>
    </w:p>
    <w:p>
      <w:pPr>
        <w:pStyle w:val="ListParagraph"/>
        <w:numPr>
          <w:ilvl w:val="0"/>
          <w:numId w:val="14"/>
        </w:numPr>
        <w:spacing w:after="80"/>
      </w:pPr>
      <w:r>
        <w:rPr>
          <w:rFonts w:ascii="Arial" w:cs="Arial" w:eastAsia="Arial" w:hAnsi="Arial"/>
          <w:sz w:val="22"/>
          <w:szCs w:val="22"/>
        </w:rPr>
        <w:t xml:space="preserve">Blockchain selection: permissioned ledger (Hyperledger Fabric) vs. public chain with ZK-proof layer. Depends on deployment context.</w:t>
      </w:r>
    </w:p>
    <w:p>
      <w:pPr>
        <w:pStyle w:val="ListParagraph"/>
        <w:numPr>
          <w:ilvl w:val="0"/>
          <w:numId w:val="14"/>
        </w:numPr>
        <w:spacing w:after="80"/>
      </w:pPr>
      <w:r>
        <w:rPr>
          <w:rFonts w:ascii="Arial" w:cs="Arial" w:eastAsia="Arial" w:hAnsi="Arial"/>
          <w:sz w:val="22"/>
          <w:szCs w:val="22"/>
        </w:rPr>
        <w:t xml:space="preserve">Governance policy language: OPA/Rego as primary candidate; evaluate Cedar (AWS) and Azure Policy DSL for cloud-native integration.</w:t>
      </w:r>
    </w:p>
    <w:p>
      <w:pPr>
        <w:pStyle w:val="ListParagraph"/>
        <w:numPr>
          <w:ilvl w:val="0"/>
          <w:numId w:val="14"/>
        </w:numPr>
        <w:spacing w:after="80"/>
      </w:pPr>
      <w:r>
        <w:rPr>
          <w:rFonts w:ascii="Arial" w:cs="Arial" w:eastAsia="Arial" w:hAnsi="Arial"/>
          <w:sz w:val="22"/>
          <w:szCs w:val="22"/>
        </w:rPr>
        <w:t xml:space="preserve">The pipeline equivalence argument (Section 5.4.1) is strategically important for market adoption—frame AI automation as evolutionary extension of CI/CD, not revolutionary risk.</w:t>
      </w:r>
    </w:p>
    <w:p>
      <w:pPr>
        <w:pStyle w:val="ListParagraph"/>
        <w:numPr>
          <w:ilvl w:val="0"/>
          <w:numId w:val="14"/>
        </w:numPr>
        <w:spacing w:after="80"/>
      </w:pPr>
      <w:r>
        <w:rPr>
          <w:rFonts w:ascii="Arial" w:cs="Arial" w:eastAsia="Arial" w:hAnsi="Arial"/>
          <w:sz w:val="22"/>
          <w:szCs w:val="22"/>
        </w:rPr>
        <w:t xml:space="preserve">Connection to QHDC paper (arXiv 2511.12664) may provide theoretical support for the HDC → quantum kernel pipeline.</w:t>
      </w:r>
    </w:p>
    <w:p>
      <w:pPr>
        <w:pStyle w:val="ListParagraph"/>
        <w:numPr>
          <w:ilvl w:val="0"/>
          <w:numId w:val="14"/>
        </w:numPr>
        <w:spacing w:after="80"/>
      </w:pPr>
      <w:r>
        <w:rPr>
          <w:rFonts w:ascii="Arial" w:cs="Arial" w:eastAsia="Arial" w:hAnsi="Arial"/>
          <w:sz w:val="22"/>
          <w:szCs w:val="22"/>
        </w:rPr>
        <w:t xml:space="preserve">Regulatory: GDPR/BIPA implications of biometric template storage. Blockchain hash-only approach may satisfy data minimization but needs legal review.</w:t>
      </w:r>
    </w:p>
    <w:p>
      <w:pPr>
        <w:pStyle w:val="ListParagraph"/>
        <w:numPr>
          <w:ilvl w:val="0"/>
          <w:numId w:val="14"/>
        </w:numPr>
        <w:spacing w:after="80"/>
      </w:pPr>
      <w:r>
        <w:rPr>
          <w:rFonts w:ascii="Arial" w:cs="Arial" w:eastAsia="Arial" w:hAnsi="Arial"/>
          <w:sz w:val="22"/>
          <w:szCs w:val="22"/>
        </w:rPr>
        <w:t xml:space="preserve">Consider whether the governance framework (Claims 4–6) is independently patentable without the voice auth component—this could be a separate, valuable patent covering AI agent governance generally.</w:t>
      </w:r>
    </w:p>
    <w:p>
      <w:pPr>
        <w:pStyle w:val="ListParagraph"/>
        <w:numPr>
          <w:ilvl w:val="0"/>
          <w:numId w:val="14"/>
        </w:numPr>
        <w:spacing w:after="80"/>
      </w:pPr>
      <w:r>
        <w:rPr>
          <w:rFonts w:ascii="Arial" w:cs="Arial" w:eastAsia="Arial" w:hAnsi="Arial"/>
          <w:sz w:val="22"/>
          <w:szCs w:val="22"/>
        </w:rPr>
        <w:t xml:space="preserve">FedRAMP / NIST 800-53 mapping: the chain-of-trust architecture maps naturally to AU (Audit) and AC (Access Control) control families. Document this mapping for defense/government market positioning.</w:t>
      </w:r>
    </w:p>
    <w:p>
      <w:pPr>
        <w:spacing w:after="400"/>
      </w:pPr>
    </w:p>
    <w:p>
      <w:pPr>
        <w:pBdr>
          <w:top w:val="single" w:color="1F4E79" w:sz="4" w:space="4"/>
        </w:pBdr>
        <w:spacing w:before="200"/>
      </w:pPr>
      <w:r>
        <w:rPr>
          <w:rFonts w:ascii="Arial" w:cs="Arial" w:eastAsia="Arial" w:hAnsi="Arial"/>
          <w:b/>
          <w:bCs/>
          <w:color w:val="1F4E79"/>
          <w:sz w:val="20"/>
          <w:szCs w:val="20"/>
        </w:rPr>
        <w:t xml:space="preserve">END OF TECHNICAL DISCLOSURE</w:t>
      </w:r>
    </w:p>
    <w:p>
      <w:pPr>
        <w:spacing w:after="40"/>
      </w:pPr>
      <w:r>
        <w:rPr>
          <w:rFonts w:ascii="Arial" w:cs="Arial" w:eastAsia="Arial" w:hAnsi="Arial"/>
          <w:i/>
          <w:iCs/>
          <w:color w:val="666666"/>
          <w:sz w:val="18"/>
          <w:szCs w:val="18"/>
        </w:rPr>
        <w:t xml:space="preserve">This document constitutes a confidential technical disclosure for the purpose of patent preparation. Do not distribute or publish prior to filing a provisional patent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DRAFT — Not for Public Distribution</w:t>
    </w:r>
    <w:r>
      <w:rPr>
        <w:rFonts w:ascii="Arial" w:cs="Arial" w:eastAsia="Arial" w:hAnsi="Arial"/>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6"/>
        <w:szCs w:val="16"/>
      </w:rPr>
      <w:t xml:space="preserve">TECHNICAL DISCLOSURE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7"/>
    <w:lvlOverride w:ilvl="0">
      <w:startOverride w:val="1"/>
    </w:lvlOverride>
  </w:num>
  <w:num w:numId="13">
    <w:abstractNumId w:val="16"/>
    <w:lvlOverride w:ilvl="0">
      <w:startOverride w:val="1"/>
    </w:lvlOverride>
  </w:num>
  <w:num w:numId="14">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2026-03-04T00:40:37.264Z</dcterms:created>
  <dcterms:modified xsi:type="dcterms:W3CDTF">2026-03-04T00:40:37.265Z</dcterms:modified>
</cp:coreProperties>
</file>

<file path=docProps/custom.xml><?xml version="1.0" encoding="utf-8"?>
<Properties xmlns="http://schemas.openxmlformats.org/officeDocument/2006/custom-properties" xmlns:vt="http://schemas.openxmlformats.org/officeDocument/2006/docPropsVTypes"/>
</file>