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47" w:rsidRPr="001F7098" w:rsidRDefault="001F7098" w:rsidP="001F7098">
      <w:pPr>
        <w:jc w:val="center"/>
        <w:rPr>
          <w:rFonts w:ascii="Arial Rounded MT Bold" w:hAnsi="Arial Rounded MT Bold"/>
          <w:b/>
          <w:sz w:val="32"/>
          <w:szCs w:val="32"/>
          <w:u w:val="single"/>
        </w:rPr>
      </w:pPr>
      <w:r w:rsidRPr="001F7098">
        <w:rPr>
          <w:rFonts w:ascii="Arial Rounded MT Bold" w:hAnsi="Arial Rounded MT Bold"/>
          <w:b/>
          <w:sz w:val="32"/>
          <w:szCs w:val="32"/>
          <w:u w:val="single"/>
        </w:rPr>
        <w:t>Financial Report Hot-Ten Film Rentals</w:t>
      </w:r>
    </w:p>
    <w:p w:rsidR="001F7098" w:rsidRPr="001F7098" w:rsidRDefault="001F7098" w:rsidP="001F7098">
      <w:pPr>
        <w:jc w:val="center"/>
        <w:rPr>
          <w:rFonts w:ascii="Arial Rounded MT Bold" w:hAnsi="Arial Rounded MT Bold"/>
          <w:b/>
          <w:u w:val="single"/>
        </w:rPr>
      </w:pPr>
      <w:r w:rsidRPr="001F7098">
        <w:rPr>
          <w:rFonts w:ascii="Arial Rounded MT Bold" w:hAnsi="Arial Rounded MT Bold"/>
          <w:b/>
          <w:u w:val="single"/>
        </w:rPr>
        <w:t>Last 6 Months</w:t>
      </w:r>
      <w:r w:rsidR="00EC088C">
        <w:rPr>
          <w:rFonts w:ascii="Arial Rounded MT Bold" w:hAnsi="Arial Rounded MT Bold"/>
          <w:b/>
          <w:u w:val="single"/>
        </w:rPr>
        <w:t xml:space="preserve"> 2016-2017</w:t>
      </w:r>
    </w:p>
    <w:p w:rsidR="001F7098" w:rsidRDefault="001F7098"/>
    <w:p w:rsidR="001F7098" w:rsidRDefault="001F7098"/>
    <w:p w:rsidR="001F7098" w:rsidRDefault="00EC088C">
      <w:r>
        <w:object w:dxaOrig="17085"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3.25pt;height:105pt" o:ole="">
            <v:imagedata r:id="rId4" o:title=""/>
          </v:shape>
          <o:OLEObject Type="Link" ProgID="Excel.Sheet.12" ShapeID="_x0000_i1025" DrawAspect="Content" r:id="rId5" UpdateMode="Always">
            <o:LinkType>EnhancedMetaFile</o:LinkType>
            <o:LockedField>false</o:LockedField>
          </o:OLEObject>
        </w:object>
      </w:r>
    </w:p>
    <w:p w:rsidR="00D63B4C" w:rsidRDefault="00D63B4C">
      <w:r>
        <w:t>The store’s total profit/loss ratio remains very high, with only one month (January) presenting a loss, seen here</w:t>
      </w:r>
    </w:p>
    <w:tbl>
      <w:tblPr>
        <w:tblW w:w="4440" w:type="dxa"/>
        <w:tblInd w:w="4754" w:type="dxa"/>
        <w:tblLook w:val="04A0" w:firstRow="1" w:lastRow="0" w:firstColumn="1" w:lastColumn="0" w:noHBand="0" w:noVBand="1"/>
      </w:tblPr>
      <w:tblGrid>
        <w:gridCol w:w="2300"/>
        <w:gridCol w:w="2140"/>
      </w:tblGrid>
      <w:tr w:rsidR="00D63B4C" w:rsidRPr="00D63B4C" w:rsidTr="00EC088C">
        <w:trPr>
          <w:trHeight w:val="375"/>
        </w:trPr>
        <w:tc>
          <w:tcPr>
            <w:tcW w:w="2300" w:type="dxa"/>
            <w:tcBorders>
              <w:top w:val="single" w:sz="4" w:space="0" w:color="FFFFFF"/>
              <w:left w:val="single" w:sz="4" w:space="0" w:color="FFFFFF"/>
              <w:bottom w:val="nil"/>
              <w:right w:val="single" w:sz="4" w:space="0" w:color="FFFFFF"/>
            </w:tcBorders>
            <w:shd w:val="clear" w:color="000000" w:fill="C00000"/>
            <w:noWrap/>
            <w:vAlign w:val="bottom"/>
            <w:hideMark/>
          </w:tcPr>
          <w:p w:rsidR="00D63B4C" w:rsidRPr="00D63B4C" w:rsidRDefault="00D63B4C" w:rsidP="00D63B4C">
            <w:pPr>
              <w:spacing w:after="0" w:line="240" w:lineRule="auto"/>
              <w:rPr>
                <w:rFonts w:ascii="Calibri" w:eastAsia="Times New Roman" w:hAnsi="Calibri" w:cs="Calibri"/>
                <w:b/>
                <w:bCs/>
                <w:color w:val="FFFFFF"/>
                <w:sz w:val="28"/>
                <w:szCs w:val="28"/>
                <w:lang w:eastAsia="en-GB"/>
              </w:rPr>
            </w:pPr>
            <w:r w:rsidRPr="00D63B4C">
              <w:rPr>
                <w:rFonts w:ascii="Calibri" w:eastAsia="Times New Roman" w:hAnsi="Calibri" w:cs="Calibri"/>
                <w:b/>
                <w:bCs/>
                <w:color w:val="FFFFFF"/>
                <w:sz w:val="28"/>
                <w:szCs w:val="28"/>
                <w:lang w:eastAsia="en-GB"/>
              </w:rPr>
              <w:t>Total Expenditure</w:t>
            </w:r>
          </w:p>
        </w:tc>
        <w:tc>
          <w:tcPr>
            <w:tcW w:w="2140" w:type="dxa"/>
            <w:tcBorders>
              <w:top w:val="single" w:sz="4" w:space="0" w:color="FFFFFF"/>
              <w:left w:val="nil"/>
              <w:bottom w:val="nil"/>
              <w:right w:val="single" w:sz="4" w:space="0" w:color="FFFFFF"/>
            </w:tcBorders>
            <w:shd w:val="clear" w:color="000000" w:fill="C00000"/>
            <w:noWrap/>
            <w:vAlign w:val="bottom"/>
            <w:hideMark/>
          </w:tcPr>
          <w:p w:rsidR="00D63B4C" w:rsidRPr="00D63B4C" w:rsidRDefault="00D63B4C" w:rsidP="00D63B4C">
            <w:pPr>
              <w:spacing w:after="0" w:line="240" w:lineRule="auto"/>
              <w:rPr>
                <w:rFonts w:ascii="Calibri" w:eastAsia="Times New Roman" w:hAnsi="Calibri" w:cs="Calibri"/>
                <w:b/>
                <w:bCs/>
                <w:color w:val="FFFFFF"/>
                <w:sz w:val="28"/>
                <w:szCs w:val="28"/>
                <w:lang w:eastAsia="en-GB"/>
              </w:rPr>
            </w:pPr>
            <w:r w:rsidRPr="00D63B4C">
              <w:rPr>
                <w:rFonts w:ascii="Calibri" w:eastAsia="Times New Roman" w:hAnsi="Calibri" w:cs="Calibri"/>
                <w:b/>
                <w:bCs/>
                <w:color w:val="FFFFFF"/>
                <w:sz w:val="28"/>
                <w:szCs w:val="28"/>
                <w:lang w:eastAsia="en-GB"/>
              </w:rPr>
              <w:t>Total Profit/Loss</w:t>
            </w:r>
          </w:p>
        </w:tc>
      </w:tr>
      <w:tr w:rsidR="00D63B4C" w:rsidRPr="00D63B4C" w:rsidTr="00EC088C">
        <w:trPr>
          <w:trHeight w:val="375"/>
        </w:trPr>
        <w:tc>
          <w:tcPr>
            <w:tcW w:w="2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$25,879.65</w:t>
            </w:r>
          </w:p>
        </w:tc>
        <w:tc>
          <w:tcPr>
            <w:tcW w:w="2140" w:type="dxa"/>
            <w:tcBorders>
              <w:top w:val="single" w:sz="4" w:space="0" w:color="000000"/>
              <w:left w:val="nil"/>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$25,121.20</w:t>
            </w:r>
          </w:p>
        </w:tc>
      </w:tr>
      <w:tr w:rsidR="00D63B4C" w:rsidRPr="00D63B4C" w:rsidTr="00EC088C">
        <w:trPr>
          <w:trHeight w:val="375"/>
        </w:trPr>
        <w:tc>
          <w:tcPr>
            <w:tcW w:w="2300" w:type="dxa"/>
            <w:tcBorders>
              <w:top w:val="nil"/>
              <w:left w:val="single" w:sz="4" w:space="0" w:color="000000"/>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$31,001.47</w:t>
            </w:r>
          </w:p>
        </w:tc>
        <w:tc>
          <w:tcPr>
            <w:tcW w:w="2140" w:type="dxa"/>
            <w:tcBorders>
              <w:top w:val="nil"/>
              <w:left w:val="nil"/>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$33,126.53</w:t>
            </w:r>
          </w:p>
        </w:tc>
      </w:tr>
      <w:tr w:rsidR="00D63B4C" w:rsidRPr="00D63B4C" w:rsidTr="00EC088C">
        <w:trPr>
          <w:trHeight w:val="375"/>
        </w:trPr>
        <w:tc>
          <w:tcPr>
            <w:tcW w:w="2300" w:type="dxa"/>
            <w:tcBorders>
              <w:top w:val="nil"/>
              <w:left w:val="single" w:sz="4" w:space="0" w:color="000000"/>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$22,895.63</w:t>
            </w:r>
          </w:p>
        </w:tc>
        <w:tc>
          <w:tcPr>
            <w:tcW w:w="2140" w:type="dxa"/>
            <w:tcBorders>
              <w:top w:val="single" w:sz="4" w:space="0" w:color="000000"/>
              <w:left w:val="single" w:sz="4" w:space="0" w:color="000000"/>
              <w:bottom w:val="single" w:sz="4" w:space="0" w:color="000000"/>
              <w:right w:val="single" w:sz="4" w:space="0" w:color="000000"/>
            </w:tcBorders>
            <w:shd w:val="clear" w:color="000000" w:fill="FFEB9C"/>
            <w:noWrap/>
            <w:vAlign w:val="bottom"/>
            <w:hideMark/>
          </w:tcPr>
          <w:p w:rsidR="00D63B4C" w:rsidRPr="00D63B4C" w:rsidRDefault="00D63B4C" w:rsidP="00D63B4C">
            <w:pPr>
              <w:spacing w:after="0" w:line="240" w:lineRule="auto"/>
              <w:jc w:val="right"/>
              <w:rPr>
                <w:rFonts w:ascii="Calibri" w:eastAsia="Times New Roman" w:hAnsi="Calibri" w:cs="Calibri"/>
                <w:color w:val="9C6500"/>
                <w:lang w:eastAsia="en-GB"/>
              </w:rPr>
            </w:pPr>
            <w:r w:rsidRPr="00D63B4C">
              <w:rPr>
                <w:rFonts w:ascii="Calibri" w:eastAsia="Times New Roman" w:hAnsi="Calibri" w:cs="Calibri"/>
                <w:color w:val="9C6500"/>
                <w:lang w:eastAsia="en-GB"/>
              </w:rPr>
              <w:t>-$2,770.74</w:t>
            </w:r>
          </w:p>
        </w:tc>
      </w:tr>
      <w:tr w:rsidR="00D63B4C" w:rsidRPr="00D63B4C" w:rsidTr="00EC088C">
        <w:trPr>
          <w:trHeight w:val="375"/>
        </w:trPr>
        <w:tc>
          <w:tcPr>
            <w:tcW w:w="2300" w:type="dxa"/>
            <w:tcBorders>
              <w:top w:val="nil"/>
              <w:left w:val="single" w:sz="4" w:space="0" w:color="000000"/>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$22,847.63</w:t>
            </w:r>
          </w:p>
        </w:tc>
        <w:tc>
          <w:tcPr>
            <w:tcW w:w="2140" w:type="dxa"/>
            <w:tcBorders>
              <w:top w:val="nil"/>
              <w:left w:val="nil"/>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$3,050.02</w:t>
            </w:r>
          </w:p>
        </w:tc>
        <w:bookmarkStart w:id="0" w:name="_GoBack"/>
        <w:bookmarkEnd w:id="0"/>
      </w:tr>
      <w:tr w:rsidR="00D63B4C" w:rsidRPr="00D63B4C" w:rsidTr="00EC088C">
        <w:trPr>
          <w:trHeight w:val="375"/>
        </w:trPr>
        <w:tc>
          <w:tcPr>
            <w:tcW w:w="2300" w:type="dxa"/>
            <w:tcBorders>
              <w:top w:val="nil"/>
              <w:left w:val="single" w:sz="4" w:space="0" w:color="000000"/>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$25,417.98</w:t>
            </w:r>
          </w:p>
        </w:tc>
        <w:tc>
          <w:tcPr>
            <w:tcW w:w="2140" w:type="dxa"/>
            <w:tcBorders>
              <w:top w:val="nil"/>
              <w:left w:val="nil"/>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$4,727.76</w:t>
            </w:r>
          </w:p>
        </w:tc>
      </w:tr>
      <w:tr w:rsidR="00D63B4C" w:rsidRPr="00D63B4C" w:rsidTr="00EC088C">
        <w:trPr>
          <w:trHeight w:val="375"/>
        </w:trPr>
        <w:tc>
          <w:tcPr>
            <w:tcW w:w="2300" w:type="dxa"/>
            <w:tcBorders>
              <w:top w:val="nil"/>
              <w:left w:val="single" w:sz="4" w:space="0" w:color="000000"/>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$20,000.22</w:t>
            </w:r>
          </w:p>
        </w:tc>
        <w:tc>
          <w:tcPr>
            <w:tcW w:w="2140" w:type="dxa"/>
            <w:tcBorders>
              <w:top w:val="nil"/>
              <w:left w:val="nil"/>
              <w:bottom w:val="single" w:sz="4" w:space="0" w:color="000000"/>
              <w:right w:val="single" w:sz="4" w:space="0" w:color="000000"/>
            </w:tcBorders>
            <w:shd w:val="clear" w:color="auto" w:fill="auto"/>
            <w:noWrap/>
            <w:vAlign w:val="bottom"/>
            <w:hideMark/>
          </w:tcPr>
          <w:p w:rsidR="00D63B4C" w:rsidRPr="00D63B4C" w:rsidRDefault="00D63B4C" w:rsidP="00D63B4C">
            <w:pPr>
              <w:spacing w:after="0" w:line="240" w:lineRule="auto"/>
              <w:jc w:val="right"/>
              <w:rPr>
                <w:rFonts w:ascii="Calibri" w:eastAsia="Times New Roman" w:hAnsi="Calibri" w:cs="Calibri"/>
                <w:color w:val="000000"/>
                <w:lang w:eastAsia="en-GB"/>
              </w:rPr>
            </w:pPr>
            <w:r w:rsidRPr="00D63B4C">
              <w:rPr>
                <w:rFonts w:ascii="Calibri" w:eastAsia="Times New Roman" w:hAnsi="Calibri" w:cs="Calibri"/>
                <w:color w:val="000000"/>
                <w:lang w:eastAsia="en-GB"/>
              </w:rPr>
              <w:t>$15,852.74</w:t>
            </w:r>
          </w:p>
        </w:tc>
      </w:tr>
    </w:tbl>
    <w:p w:rsidR="00D63B4C" w:rsidRDefault="00D63B4C"/>
    <w:p w:rsidR="00D63B4C" w:rsidRDefault="00D63B4C">
      <w:r>
        <w:t>This presents no cause for concern, January is a traditionally slow month in the film rental and purchase market, and is easily offset by the other months in profit</w:t>
      </w:r>
    </w:p>
    <w:p w:rsidR="00EC088C" w:rsidRDefault="00EC088C"/>
    <w:p w:rsidR="00EC088C" w:rsidRDefault="00EC088C">
      <w:r>
        <w:lastRenderedPageBreak/>
        <w:t>Presented in graph form we can see that the rental and purchase income over the last six months has been very strong, bolstered by the fact we have been able to agree rights with all major distributors to rent out/sell all the year’s biggest films</w:t>
      </w:r>
    </w:p>
    <w:p w:rsidR="00EC088C" w:rsidRDefault="00EC088C">
      <w:r>
        <w:rPr>
          <w:noProof/>
          <w:lang w:eastAsia="en-GB"/>
        </w:rPr>
        <w:drawing>
          <wp:inline distT="0" distB="0" distL="0" distR="0" wp14:anchorId="463E2061" wp14:editId="2BC3657C">
            <wp:extent cx="5505450" cy="3414713"/>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EC088C" w:rsidSect="001F70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98"/>
    <w:rsid w:val="001F7098"/>
    <w:rsid w:val="006549A1"/>
    <w:rsid w:val="006A064A"/>
    <w:rsid w:val="00A14147"/>
    <w:rsid w:val="00D63B4C"/>
    <w:rsid w:val="00EC0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F8B4-3461-4477-8632-81679432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6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oleObject" Target="file:///G:\Documents\HE%20Access%20Computing%20And%20Programming\Spreadsheets\Assignment.xlsx!Running%20Costs%20&amp;%20Hours!R2C2:R8C10" TargetMode="External"/><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G:\Documents\HE%20Access%20Computing%20And%20Programming\Spreadsheets\Assign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'Running Costs &amp; Hours'!$C$2</c:f>
              <c:strCache>
                <c:ptCount val="1"/>
                <c:pt idx="0">
                  <c:v>Rental Income</c:v>
                </c:pt>
              </c:strCache>
            </c:strRef>
          </c:tx>
          <c:spPr>
            <a:solidFill>
              <a:schemeClr val="accent1"/>
            </a:solidFill>
            <a:ln>
              <a:noFill/>
            </a:ln>
            <a:effectLst/>
          </c:spPr>
          <c:invertIfNegative val="0"/>
          <c:cat>
            <c:strRef>
              <c:f>'Running Costs &amp; Hours'!$B$3:$B$8</c:f>
              <c:strCache>
                <c:ptCount val="6"/>
                <c:pt idx="0">
                  <c:v>November</c:v>
                </c:pt>
                <c:pt idx="1">
                  <c:v>December</c:v>
                </c:pt>
                <c:pt idx="2">
                  <c:v>January</c:v>
                </c:pt>
                <c:pt idx="3">
                  <c:v>Feburary</c:v>
                </c:pt>
                <c:pt idx="4">
                  <c:v>March</c:v>
                </c:pt>
                <c:pt idx="5">
                  <c:v>April</c:v>
                </c:pt>
              </c:strCache>
            </c:strRef>
          </c:cat>
          <c:val>
            <c:numRef>
              <c:f>'Running Costs &amp; Hours'!$C$3:$C$8</c:f>
              <c:numCache>
                <c:formatCode>[$$-409]#,##0.00</c:formatCode>
                <c:ptCount val="6"/>
                <c:pt idx="0">
                  <c:v>21000.07</c:v>
                </c:pt>
                <c:pt idx="1">
                  <c:v>19126.75</c:v>
                </c:pt>
                <c:pt idx="2">
                  <c:v>12124.44</c:v>
                </c:pt>
                <c:pt idx="3">
                  <c:v>16887.009999999998</c:v>
                </c:pt>
                <c:pt idx="4">
                  <c:v>14558.33</c:v>
                </c:pt>
                <c:pt idx="5">
                  <c:v>18401.810000000001</c:v>
                </c:pt>
              </c:numCache>
            </c:numRef>
          </c:val>
        </c:ser>
        <c:ser>
          <c:idx val="1"/>
          <c:order val="1"/>
          <c:tx>
            <c:strRef>
              <c:f>'Running Costs &amp; Hours'!$D$2</c:f>
              <c:strCache>
                <c:ptCount val="1"/>
                <c:pt idx="0">
                  <c:v>Purchase Income</c:v>
                </c:pt>
              </c:strCache>
            </c:strRef>
          </c:tx>
          <c:spPr>
            <a:solidFill>
              <a:schemeClr val="accent2"/>
            </a:solidFill>
            <a:ln>
              <a:noFill/>
            </a:ln>
            <a:effectLst/>
          </c:spPr>
          <c:invertIfNegative val="0"/>
          <c:cat>
            <c:strRef>
              <c:f>'Running Costs &amp; Hours'!$B$3:$B$8</c:f>
              <c:strCache>
                <c:ptCount val="6"/>
                <c:pt idx="0">
                  <c:v>November</c:v>
                </c:pt>
                <c:pt idx="1">
                  <c:v>December</c:v>
                </c:pt>
                <c:pt idx="2">
                  <c:v>January</c:v>
                </c:pt>
                <c:pt idx="3">
                  <c:v>Feburary</c:v>
                </c:pt>
                <c:pt idx="4">
                  <c:v>March</c:v>
                </c:pt>
                <c:pt idx="5">
                  <c:v>April</c:v>
                </c:pt>
              </c:strCache>
            </c:strRef>
          </c:cat>
          <c:val>
            <c:numRef>
              <c:f>'Running Costs &amp; Hours'!$D$3:$D$8</c:f>
              <c:numCache>
                <c:formatCode>[$$-409]#,##0.00</c:formatCode>
                <c:ptCount val="6"/>
                <c:pt idx="0">
                  <c:v>30000.78</c:v>
                </c:pt>
                <c:pt idx="1">
                  <c:v>45001.25</c:v>
                </c:pt>
                <c:pt idx="2">
                  <c:v>8000.45</c:v>
                </c:pt>
                <c:pt idx="3">
                  <c:v>9010.64</c:v>
                </c:pt>
                <c:pt idx="4">
                  <c:v>15587.41</c:v>
                </c:pt>
                <c:pt idx="5">
                  <c:v>17451.150000000001</c:v>
                </c:pt>
              </c:numCache>
            </c:numRef>
          </c:val>
        </c:ser>
        <c:dLbls>
          <c:showLegendKey val="0"/>
          <c:showVal val="0"/>
          <c:showCatName val="0"/>
          <c:showSerName val="0"/>
          <c:showPercent val="0"/>
          <c:showBubbleSize val="0"/>
        </c:dLbls>
        <c:gapWidth val="219"/>
        <c:overlap val="-27"/>
        <c:axId val="464006200"/>
        <c:axId val="464010120"/>
      </c:barChart>
      <c:catAx>
        <c:axId val="464006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10120"/>
        <c:crosses val="autoZero"/>
        <c:auto val="1"/>
        <c:lblAlgn val="ctr"/>
        <c:lblOffset val="100"/>
        <c:noMultiLvlLbl val="0"/>
      </c:catAx>
      <c:valAx>
        <c:axId val="464010120"/>
        <c:scaling>
          <c:orientation val="minMax"/>
        </c:scaling>
        <c:delete val="0"/>
        <c:axPos val="l"/>
        <c:majorGridlines>
          <c:spPr>
            <a:ln w="9525" cap="flat" cmpd="sng" algn="ctr">
              <a:solidFill>
                <a:schemeClr val="tx1">
                  <a:lumMod val="15000"/>
                  <a:lumOff val="85000"/>
                </a:schemeClr>
              </a:solidFill>
              <a:round/>
            </a:ln>
            <a:effectLst/>
          </c:spPr>
        </c:majorGridlines>
        <c:numFmt formatCode="[$$-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006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7</cp:revision>
  <dcterms:created xsi:type="dcterms:W3CDTF">2018-11-14T12:39:00Z</dcterms:created>
  <dcterms:modified xsi:type="dcterms:W3CDTF">2018-11-14T13:52:00Z</dcterms:modified>
</cp:coreProperties>
</file>