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b/>
          <w:bCs/>
          <w:color w:val="2E75B6"/>
          <w:sz w:val="28"/>
          <w:szCs w:val="28"/>
        </w:rPr>
        <w:t xml:space="preserve">Hitachi Rail</w:t>
      </w:r>
    </w:p>
    <w:p>
      <w:pPr>
        <w:spacing w:after="500"/>
      </w:pPr>
      <w:r>
        <w:rPr>
          <w:color w:val="595959"/>
          <w:sz w:val="22"/>
          <w:szCs w:val="22"/>
        </w:rPr>
        <w:t xml:space="preserve">Interne Abnahmeprüfung (FFT) · ITC</w:t>
      </w:r>
    </w:p>
    <w:p>
      <w:pPr>
        <w:spacing w:after="200"/>
      </w:pPr>
      <w:r>
        <w:rPr>
          <w:b/>
          <w:bCs/>
          <w:color w:val="1F3864"/>
          <w:sz w:val="52"/>
          <w:szCs w:val="52"/>
        </w:rPr>
        <w:t xml:space="preserve">Prüfprotokoll Stellwerkskern</w:t>
      </w:r>
    </w:p>
    <w:p>
      <w:pPr>
        <w:spacing w:after="200"/>
      </w:pPr>
      <w:r>
        <w:rPr>
          <w:color w:val="1F3864"/>
          <w:sz w:val="30"/>
          <w:szCs w:val="30"/>
        </w:rPr>
        <w:t xml:space="preserve">TIP S1 – Software Stellwerkskern und Prüfanleitung</w:t>
      </w:r>
    </w:p>
    <w:p>
      <w:pPr>
        <w:spacing w:after="600"/>
      </w:pPr>
      <w:r>
        <w:rPr>
          <w:color w:val="595959"/>
          <w:sz w:val="22"/>
          <w:szCs w:val="22"/>
        </w:rPr>
        <w:t xml:space="preserve">ESTW L90 · Domestic · DB InfraGO · Prüfgrundlagen: TIP S1 (Template-Ausg. 01), Schulungsunterlage Softwareprüfung ESTW L90 (Phase 4 und 5)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000"/>
        <w:gridCol w:w="6638"/>
      </w:tblGrid>
      <w:tr>
        <w:tc>
          <w:tcPr>
            <w:tcW w:type="dxa" w:w="9638"/>
            <w:gridSpan w:val="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Projektdaten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Projektbezeichnung / PSP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Stellwerk (UZ / ESTW-Z, Ril100)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Bauzustand / AZ-Nr.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Systemversionen (LBS, MEM, SM, EAM, AzLM)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PT1-Stand laut PBL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Neuanlage / Bauzustand (Differenz)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2E75B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Hinweis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Formal verbindlich sind die Fragen des </w:t>
            </w:r>
            <w:r>
              <w:rPr>
                <w:b/>
                <w:bCs/>
                <w:sz w:val="19"/>
                <w:szCs w:val="19"/>
              </w:rPr>
              <w:t xml:space="preserve">TIP S1 – Software Stellwerkskern</w:t>
            </w:r>
            <w:r>
              <w:rPr>
                <w:sz w:val="19"/>
                <w:szCs w:val="19"/>
              </w:rPr>
              <w:t xml:space="preserve"> (orange). Die </w:t>
            </w:r>
            <w:r>
              <w:rPr>
                <w:b/>
                <w:bCs/>
                <w:sz w:val="19"/>
                <w:szCs w:val="19"/>
              </w:rPr>
              <w:t xml:space="preserve">Prüfanleitung (PA)</w:t>
            </w:r>
            <w:r>
              <w:rPr>
                <w:sz w:val="19"/>
                <w:szCs w:val="19"/>
              </w:rPr>
              <w:t xml:space="preserve"> (grün) zerlegt diese Fragen in nachvollziehbare Einzelschritte gegen die PT1-Tabellen und Prüfdokumente. Sie stammt aus der Schulungsunterlage und beruht teils auf historischen Arbeitsnotizen (2011–2013) – vor Nutzung mit dem aktuellen Stand abgleichen.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  Anleitung</w:t>
      </w:r>
    </w:p>
    <w:p>
      <w:pPr>
        <w:pStyle w:val="Heading2"/>
      </w:pPr>
      <w:r>
        <w:t xml:space="preserve">Herkunft der Fragen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00"/>
        <w:gridCol w:w="8238"/>
      </w:tblGrid>
      <w:tr>
        <w:tc>
          <w:tcPr>
            <w:tcW w:type="dxa" w:w="140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S1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x</w:t>
            </w:r>
          </w:p>
        </w:tc>
        <w:tc>
          <w:tcPr>
            <w:tcW w:type="dxa" w:w="823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Frage aus dem TIP S1 – Software Stellwerkskern.</w:t>
            </w:r>
            <w:r>
              <w:rPr>
                <w:sz w:val="19"/>
                <w:szCs w:val="19"/>
              </w:rPr>
              <w:t xml:space="preserve"> Zeile hellorange. Die Nummer entspricht der Fragennummer im TIP; das Ergebnis wird 1:1 ins TIP übertragen.</w:t>
            </w:r>
          </w:p>
        </w:tc>
      </w:tr>
      <w:tr>
        <w:tc>
          <w:tcPr>
            <w:tcW w:type="dxa" w:w="1400"/>
            <w:shd w:fill="C5E0B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PA</w:t>
            </w:r>
            <w:r>
              <w:rPr>
                <w:sz w:val="16"/>
                <w:szCs w:val="16"/>
              </w:rPr>
              <w:t xml:space="preserve"> x</w:t>
            </w:r>
          </w:p>
        </w:tc>
        <w:tc>
          <w:tcPr>
            <w:tcW w:type="dxa" w:w="8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Prüfanleitung</w:t>
            </w:r>
            <w:r>
              <w:rPr>
                <w:sz w:val="19"/>
                <w:szCs w:val="19"/>
              </w:rPr>
              <w:t xml:space="preserve"> – Einzelschritt, mit dem eine TIP-Frage nachgewiesen wird (PT1-Tabelle, Prüfdokument, Simulation). Zeile weiß. Die Spalte „Bezug“ nennt die TIP-Frage(n), zu denen der Schritt gehört.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Die Spalte </w:t>
      </w:r>
      <w:r>
        <w:rPr>
          <w:b/>
          <w:bCs/>
        </w:rPr>
        <w:t xml:space="preserve">Bezug</w:t>
      </w:r>
      <w:r>
        <w:t xml:space="preserve"> ist verlinkt: Bei TIP-Fragen springt der Link zum ersten zugehörigen PA-Schritt („+n“ = weitere Schritte), bei PA-Schritten zurück zur TIP-Frage (↑ = weiter oben, ↓ = weiter unten).</w:t>
      </w:r>
    </w:p>
    <w:p>
      <w:pPr>
        <w:pStyle w:val="Heading2"/>
      </w:pPr>
      <w:r>
        <w:t xml:space="preserve">Bewertung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00"/>
        <w:gridCol w:w="1800"/>
        <w:gridCol w:w="2000"/>
        <w:gridCol w:w="4738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Kürzel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Übertrag ins TIP</w:t>
            </w:r>
          </w:p>
        </w:tc>
        <w:tc>
          <w:tcPr>
            <w:tcW w:type="dxa" w:w="47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Was ist zu tun?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i. O.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 Ordnung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Ja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Entspricht der Vorgabe (PT1, Prüfdokument, Planung).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n. i. O.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nicht in Ordnung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Nein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Abweichung im Prüfbuch erfassen; Prüfbuch-Nr. in „Bemerkung“ eintragen.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n. z.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nicht zutreffend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als n. z. kennzeichnen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Sachverhalt kommt im Projekt nicht vor (z. B. „Falls …“-Fragen). Kurz begründen.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Jede Zeile mit genau </w:t>
      </w:r>
      <w:r>
        <w:rPr>
          <w:b/>
          <w:bCs/>
        </w:rPr>
        <w:t xml:space="preserve">einem</w:t>
      </w:r>
      <w:r>
        <w:t xml:space="preserve"> Kreuz beantworten.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TIP-Frage darf erst mit „i. O.“ bewertet werden, wenn alle zugehörigen PA-Schritte i. O. oder n. z. sind.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Nachweis der PT1-Prüfung bleibt das </w:t>
      </w:r>
      <w:r>
        <w:rPr>
          <w:b/>
          <w:bCs/>
        </w:rPr>
        <w:t xml:space="preserve">Abhaken im PT1</w:t>
      </w:r>
      <w:r>
        <w:t xml:space="preserve"> (TIP-Manteldokument, Anhang A.1). Dieses Protokoll ersetzt das nicht.</w:t>
      </w:r>
    </w:p>
    <w:p>
      <w:pPr>
        <w:pStyle w:val="Heading1"/>
      </w:pPr>
      <w:r>
        <w:t xml:space="preserve">2  Elemente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S1 – Elemente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" w:id="1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1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alle Signalbegriffe (inkl. Zs-Begriffe) nach Signaltabelle 1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" w:id="2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2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alle Zs-Lichtsignale mit Überwachung und alle Formsignale ohne Überwachung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" w:id="3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Flachkreuzungen oder EBÜT80-Fü-Anlage vorhanden sind: Ist zwingend die Version KAEAMxx oder &gt; El15 im Einsatz?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4" w:id="4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4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Hat das SV-Element Nr. 2 bei EAMs mit SV-Diagnosemeldungen die gleiche Zuordnungs-Nr. wie Element Nr. 1, und bei EAMs ohne SV-Diagnosemeldungen die Zuordnungs-Nr. 1?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5" w:id="5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5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für alle Signale am Mast die gleiche Zuordnungs-Nr. &gt; 1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6" w:id="6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6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(Prüfdokumente Konfiguration Testzentrum – HW-Installationsplan Modulschnittstellen) Stimmt die SW-Projektierung der Schnittstellen mit der Hardwareprojektierung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4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4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7" w:id="7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7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(Prüfdokumente Vergl_hw_sw.doc) Stimmt die Projektierung von Software und Hardware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4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4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8" w:id="8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8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(Prüfdokumente Vergl_hw_sw.doc) Stimmt der EAM-Offset in der Elementliste mit dem der Software überein (Elementnummernoffset in den statischen Elementdaten)?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4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4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Signaltabelle Teil 1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" w:id="9"/>
            <w:r>
              <w:rPr>
                <w:b/>
                <w:bCs/>
                <w:sz w:val="16"/>
                <w:szCs w:val="16"/>
              </w:rPr>
              <w:t xml:space="preserve">PA 1</w:t>
            </w:r>
            <w:bookmarkEnd w:id="9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Signaltabelle 1:</w:t>
            </w:r>
            <w:r>
              <w:rPr>
                <w:sz w:val="18"/>
                <w:szCs w:val="18"/>
              </w:rPr>
              <w:t xml:space="preserve"> Wurde für jeden Zs-Anzeiger in der Elementliste (&lt;Stw&gt;.ELX) die Überwachung geprüft (V = Voranzeiger, G = Geschwindigkeitsanzeiger; U:J = überwacht, U:N = nicht überwacht) und in der Signaltabelle Teil 1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1, 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" w:id="10"/>
            <w:r>
              <w:rPr>
                <w:b/>
                <w:bCs/>
                <w:sz w:val="16"/>
                <w:szCs w:val="16"/>
              </w:rPr>
              <w:t xml:space="preserve">PA 2</w:t>
            </w:r>
            <w:bookmarkEnd w:id="1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Signaltabelle 1:</w:t>
            </w:r>
            <w:r>
              <w:rPr>
                <w:sz w:val="18"/>
                <w:szCs w:val="18"/>
              </w:rPr>
              <w:t xml:space="preserve"> Nur Teilerneuerungen mit Hv-Signalisierung: Sind Geschwindigkeitsanzeiger mit Kennzahl 5 und 6 als nicht überwacht projektiert (siehe auch Nr. 27)?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2, 27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3" w:id="11"/>
            <w:r>
              <w:rPr>
                <w:b/>
                <w:bCs/>
                <w:sz w:val="16"/>
                <w:szCs w:val="16"/>
              </w:rPr>
              <w:t xml:space="preserve">PA 3</w:t>
            </w:r>
            <w:bookmarkEnd w:id="1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Signaltabelle 1:</w:t>
            </w:r>
            <w:r>
              <w:rPr>
                <w:sz w:val="18"/>
                <w:szCs w:val="18"/>
              </w:rPr>
              <w:t xml:space="preserve"> Wurden alle Signalbegriffe der Signaltabelle Teil 1 in SIMBA am Signal aufgeschaltet, verglichen und im PT1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1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HW/SW-Konsistenz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4" w:id="12"/>
            <w:r>
              <w:rPr>
                <w:b/>
                <w:bCs/>
                <w:sz w:val="16"/>
                <w:szCs w:val="16"/>
              </w:rPr>
              <w:t xml:space="preserve">PA 4</w:t>
            </w:r>
            <w:bookmarkEnd w:id="1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HW/SW:</w:t>
            </w:r>
            <w:r>
              <w:rPr>
                <w:sz w:val="18"/>
                <w:szCs w:val="18"/>
              </w:rPr>
              <w:t xml:space="preserve"> Wurden die Prüfdokumente (HW-Installationsplan Modulschnittstellen, Vergl_hw_sw.doc) ausgedruckt, abgehakt und im Prüfordner abgelegt?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6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6, 7, 8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  Weichen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S1 – Weichen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9" w:id="13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1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Grenzzeichenfreiheit aller Weichen nach Flankenschutztabelle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5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5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0" w:id="14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14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Vorzugslage der Weichen nach Flankenschutztabelle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7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7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1" w:id="15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15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der Zwieschutz nach Zwieschutzweichentabelle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8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8 (+3)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2" w:id="16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16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nach Weichentabelle Flachkreuzungen mit Weichenantrieb vorhanden sind: Ist im Lupenbild das korrekte Symbol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3" w:id="17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17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nach Weichentabelle Weichen mit 2 Weichenantrieben vorhanden sind: Ist in HW und SW die Elementart 13hex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Flankenschutztabelle (Grenzzeichen, Vorzugslage)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5" w:id="18"/>
            <w:r>
              <w:rPr>
                <w:b/>
                <w:bCs/>
                <w:sz w:val="16"/>
                <w:szCs w:val="16"/>
              </w:rPr>
              <w:t xml:space="preserve">PA 5</w:t>
            </w:r>
            <w:bookmarkEnd w:id="18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Flankenschutztabelle:</w:t>
            </w:r>
            <w:r>
              <w:rPr>
                <w:sz w:val="18"/>
                <w:szCs w:val="18"/>
              </w:rPr>
              <w:t xml:space="preserve"> Grenzzeichenfreiheit: Wurde für jede Weiche die gegenüberliegende Weiche umgestellt, die Weiche belegt und die Ausleuchtung im nicht befahrenen Strang beobachtet – in beiden Lagen?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6" w:id="19"/>
            <w:r>
              <w:rPr>
                <w:b/>
                <w:bCs/>
                <w:sz w:val="16"/>
                <w:szCs w:val="16"/>
              </w:rPr>
              <w:t xml:space="preserve">PA 6</w:t>
            </w:r>
            <w:bookmarkEnd w:id="19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Flankenschutztabelle:</w:t>
            </w:r>
            <w:r>
              <w:rPr>
                <w:sz w:val="18"/>
                <w:szCs w:val="18"/>
              </w:rPr>
              <w:t xml:space="preserve"> Wurde der PT1-Eintrag mit dem Prüfdokument „Nicht grenzzeichenfreie Weichen und Kreuzungen“ verglichen (enthält nur Einträge mit „Ja“) und das Prüfdokument im Prüfordner abgelegt?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7" w:id="20"/>
            <w:r>
              <w:rPr>
                <w:b/>
                <w:bCs/>
                <w:sz w:val="16"/>
                <w:szCs w:val="16"/>
              </w:rPr>
              <w:t xml:space="preserve">PA 7</w:t>
            </w:r>
            <w:bookmarkEnd w:id="2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Flankenschutztabelle:</w:t>
            </w:r>
            <w:r>
              <w:rPr>
                <w:sz w:val="18"/>
                <w:szCs w:val="18"/>
              </w:rPr>
              <w:t xml:space="preserve"> Wurden automatischer Umlauf und Vorzugslage über Fahrstraßeneinstellung geprüft und im PT1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0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10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Zwieschutzweichentabelle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8" w:id="21"/>
            <w:r>
              <w:rPr>
                <w:b/>
                <w:bCs/>
                <w:sz w:val="16"/>
                <w:szCs w:val="16"/>
              </w:rPr>
              <w:t xml:space="preserve">PA 8</w:t>
            </w:r>
            <w:bookmarkEnd w:id="2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Zwieschutz:</w:t>
            </w:r>
            <w:r>
              <w:rPr>
                <w:sz w:val="18"/>
                <w:szCs w:val="18"/>
              </w:rPr>
              <w:t xml:space="preserve"> Zwieschutzweiche „Eigen“: Ist nach Einstellen einer Fahrstraße über die Weiche immer eine Seite verschlossen?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11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9" w:id="22"/>
            <w:r>
              <w:rPr>
                <w:b/>
                <w:bCs/>
                <w:sz w:val="16"/>
                <w:szCs w:val="16"/>
              </w:rPr>
              <w:t xml:space="preserve">PA 9</w:t>
            </w:r>
            <w:bookmarkEnd w:id="2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Zwieschutz:</w:t>
            </w:r>
            <w:r>
              <w:rPr>
                <w:sz w:val="18"/>
                <w:szCs w:val="18"/>
              </w:rPr>
              <w:t xml:space="preserve"> Zwieschutzweiche „Echt“: Wird bei zwei eingestellten Fahrstraßen der Flankenschutz weitergegeben (grüner Verschlussmelder wird weitergereicht)?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11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0" w:id="23"/>
            <w:r>
              <w:rPr>
                <w:b/>
                <w:bCs/>
                <w:sz w:val="16"/>
                <w:szCs w:val="16"/>
              </w:rPr>
              <w:t xml:space="preserve">PA 10</w:t>
            </w:r>
            <w:bookmarkEnd w:id="2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Zwieschutz:</w:t>
            </w:r>
            <w:r>
              <w:rPr>
                <w:sz w:val="18"/>
                <w:szCs w:val="18"/>
              </w:rPr>
              <w:t xml:space="preserve"> Wurde die Nachlaufverhinderung im Elementdaten-Formblatt (&lt;Stw&gt;EF.FBL, „Weichennachlauf bei Zwieschutzauflösung“) 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11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1" w:id="24"/>
            <w:r>
              <w:rPr>
                <w:b/>
                <w:bCs/>
                <w:sz w:val="16"/>
                <w:szCs w:val="16"/>
              </w:rPr>
              <w:t xml:space="preserve">PA 11</w:t>
            </w:r>
            <w:bookmarkEnd w:id="2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Zwieschutz:</w:t>
            </w:r>
            <w:r>
              <w:rPr>
                <w:sz w:val="18"/>
                <w:szCs w:val="18"/>
              </w:rPr>
              <w:t xml:space="preserve"> Wurde durch Belegen angrenzender Elemente (Weichen, Gleisabschnitte) der Flankenschutz 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11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  Zugsicherungssystem (ZSS)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S1 – Zugsicherungssystem (ZSS)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4" w:id="25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25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der Dunkelschaltanstoß nur für die geforderten Signale wirksam?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5" w:id="26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26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Werden alle erforderlichen Weichenlagen an den LanCop E2 übertragen?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6" w:id="27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27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Werden alle erforderlichen Signalbegriffe an den LanCop E2 übertragen?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7" w:id="28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28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Werden alle erforderlichen D-Weg-Längen an den LanCop E2 übertragen?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8" w:id="29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29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Prüfung in der rückgelesenen Fahrstraßenliste: Ist der Parameter „Fahrt aus LZB-Bereich“ bei allen Fahrstraßen, die aus dem ZSS-überwachten Bereich führen, mit „JA“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9" w:id="30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30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Stimmt der angegebene EAM-Bereich mit der Elementliste überein (auch nicht meldende Elemente, z. B. Ls, im Wertebereich berücksichtigen)?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  Weitere Prüfungen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S1 – Weitere Prüfungen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0" w:id="31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31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Selbstblockanpassung Bauform Siemens Sb60 projektiert ist: Ist ein BG-Kommando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1" w:id="32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32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KM-Gruppe zur Ausgabe der Frei-/Besetztmeldung eines AZA-Abschnittes projektiert ist: Wird bei besetztem Abschnitt Kommando 1 und bei freiem Abschnitt Kommando 2 ausgegeben?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2" w:id="33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3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KM-Gruppe zur Vorsignalsteuerung projektiert ist: Wirken die nach Sonderschaltung angeschalteten Melderelais korrekt auf die Signalisierung?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3" w:id="34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34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KM-Gruppe zur AZG-Bedienung projektiert ist: Wird das nach Sonderschaltung projektierte Kommando ausgegeben?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4" w:id="35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35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Ersatzsignal bzw. Vorsichtsignal nach Signaltabelle 1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2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12 (+4)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5" w:id="36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36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Blockanpassung entsprechend der Streckenblocktabelle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7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17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6" w:id="37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37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eine Zentralblockschnittstelle zum EB L2000 projektiert ist und das letzte LZ im ESTW in Fahrtrichtung zur Blockgrenze am Standort des Vorsignals oder zwischen Vor- und Hauptsignal des Nachbarbahnhofs steht: Ist beim LZ in den statischen Elementdaten der Parameter D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7" w:id="38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38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 für Teilerneuerungen mit Hv-Signalisierung: Sind die Geschwindigkeitsanzeiger mit der Kennzahl 5 und 6 als nicht überwacht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">
              <w:r>
                <w:rPr>
                  <w:color w:val="0563C1"/>
                  <w:sz w:val="16"/>
                  <w:szCs w:val="16"/>
                  <w:u w:val="single"/>
                </w:rPr>
                <w:t xml:space="preserve">↑ PA 2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8" w:id="39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39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Fehler und Warnungen in der PF.FBL und PF.FHL geprüft? Wurde durch das Tool kein Fehler gefunden bzw. wurden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9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19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Ersatz-/Vorsichtsignal (Zs 1 / Zs 7)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2" w:id="40"/>
            <w:r>
              <w:rPr>
                <w:b/>
                <w:bCs/>
                <w:sz w:val="16"/>
                <w:szCs w:val="16"/>
              </w:rPr>
              <w:t xml:space="preserve">PA 12</w:t>
            </w:r>
            <w:bookmarkEnd w:id="4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Signaltabelle 1:</w:t>
            </w:r>
            <w:r>
              <w:rPr>
                <w:sz w:val="18"/>
                <w:szCs w:val="18"/>
              </w:rPr>
              <w:t xml:space="preserve"> Blocksignale: Wurden Zs 1 (EE1) und Zs 7 (VE1) bei belegtem Abschnitt vor dem Signal 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4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24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3" w:id="41"/>
            <w:r>
              <w:rPr>
                <w:b/>
                <w:bCs/>
                <w:sz w:val="16"/>
                <w:szCs w:val="16"/>
              </w:rPr>
              <w:t xml:space="preserve">PA 13</w:t>
            </w:r>
            <w:bookmarkEnd w:id="4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Signaltabelle 1:</w:t>
            </w:r>
            <w:r>
              <w:rPr>
                <w:sz w:val="18"/>
                <w:szCs w:val="18"/>
              </w:rPr>
              <w:t xml:space="preserve"> Einfahrsignale: Wurden VE1 und VE2 bei belegtem Abschnitt vor dem Signal 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4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24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4" w:id="42"/>
            <w:r>
              <w:rPr>
                <w:b/>
                <w:bCs/>
                <w:sz w:val="16"/>
                <w:szCs w:val="16"/>
              </w:rPr>
              <w:t xml:space="preserve">PA 14</w:t>
            </w:r>
            <w:bookmarkEnd w:id="4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Signaltabelle 1:</w:t>
            </w:r>
            <w:r>
              <w:rPr>
                <w:sz w:val="18"/>
                <w:szCs w:val="18"/>
              </w:rPr>
              <w:t xml:space="preserve"> Ausfahrsignale: Wurden EE1 und EE2 geprüft (keine Belegung nötig)?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4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24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5" w:id="43"/>
            <w:r>
              <w:rPr>
                <w:b/>
                <w:bCs/>
                <w:sz w:val="16"/>
                <w:szCs w:val="16"/>
              </w:rPr>
              <w:t xml:space="preserve">PA 15</w:t>
            </w:r>
            <w:bookmarkEnd w:id="4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Signaltabelle 1:</w:t>
            </w:r>
            <w:r>
              <w:rPr>
                <w:sz w:val="18"/>
                <w:szCs w:val="18"/>
              </w:rPr>
              <w:t xml:space="preserve"> EE1/VE1 ohne gesperrte Weichenlaufkette: Blinkt der FÜM erst, wenn alle Fahrwegelemente verschlossen sind? EE2/VE2 mit gesperrter WLK („freies Stellen“) 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4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24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6" w:id="44"/>
            <w:r>
              <w:rPr>
                <w:b/>
                <w:bCs/>
                <w:sz w:val="16"/>
                <w:szCs w:val="16"/>
              </w:rPr>
              <w:t xml:space="preserve">PA 16</w:t>
            </w:r>
            <w:bookmarkEnd w:id="4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Signaltabelle 1:</w:t>
            </w:r>
            <w:r>
              <w:rPr>
                <w:sz w:val="18"/>
                <w:szCs w:val="18"/>
              </w:rPr>
              <w:t xml:space="preserve"> Startsignale mit Fü-Wirksamschaltung (Schaltfall 2/12): Ist das abweichende Verhalten (kein VE2/EE2, keine Ersatzsignalfahrstraße, siehe TIP S2 Nr. 25/26) bestätigt?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4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24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Streckenblock / Zentralblock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7" w:id="45"/>
            <w:r>
              <w:rPr>
                <w:b/>
                <w:bCs/>
                <w:sz w:val="16"/>
                <w:szCs w:val="16"/>
              </w:rPr>
              <w:t xml:space="preserve">PA 17</w:t>
            </w:r>
            <w:bookmarkEnd w:id="45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Streckenblocktabelle:</w:t>
            </w:r>
            <w:r>
              <w:rPr>
                <w:sz w:val="18"/>
                <w:szCs w:val="18"/>
              </w:rPr>
              <w:t xml:space="preserve"> Wurden im Elementdaten-Formblatt des ZV-Elements die Programmfälle geprüft: Streckenart, automatischer Richtungswechsel, Erlaubnisrückgabe nach Gegenfahrt, Speicherung der Erlaubnisabgabe, Erlaubniswechsel von Zuglenkung, Beginn Zentralblockstartbereich?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5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25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8" w:id="46"/>
            <w:r>
              <w:rPr>
                <w:b/>
                <w:bCs/>
                <w:sz w:val="16"/>
                <w:szCs w:val="16"/>
              </w:rPr>
              <w:t xml:space="preserve">PA 18</w:t>
            </w:r>
            <w:bookmarkEnd w:id="46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Streckenblocktabelle:</w:t>
            </w:r>
            <w:r>
              <w:rPr>
                <w:sz w:val="18"/>
                <w:szCs w:val="18"/>
              </w:rPr>
              <w:t xml:space="preserve"> Wurden Nachbarelemente und Elementrichtung (Nachbar zur Blockstrecke, Nachbar zum Bahnhof, topologische Richtung, Fahrtrichtung im Regelbetrieb) gegen die Planung 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5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25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Toolreports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9" w:id="47"/>
            <w:r>
              <w:rPr>
                <w:b/>
                <w:bCs/>
                <w:sz w:val="16"/>
                <w:szCs w:val="16"/>
              </w:rPr>
              <w:t xml:space="preserve">PA 19</w:t>
            </w:r>
            <w:bookmarkEnd w:id="47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Toolprüfung:</w:t>
            </w:r>
            <w:r>
              <w:rPr>
                <w:sz w:val="18"/>
                <w:szCs w:val="18"/>
              </w:rPr>
              <w:t xml:space="preserve"> Ist jede Fehler-/Warnmeldung aus PF.FBL/PF.FHL einzeln begründet als unkritisch eingestuft und die Begründung im Prüfbuch bzw. auf dem Report dokumentiert?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8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28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  Schnittstellen (SCI-ILS, ETCS) und Toolprüfung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S1 – Schnittstellen und Toolprüfung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9" w:id="48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48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SCI-ILS vorhanden: Sind bei einer SCI-ILS-Schnittstelle die Parameter IP-Adressen, Gateways, Subnetzmaske, UDP-Ports, RaSTA-IDs, RaSTA-Netzwerk Anfangs-MD4, Streckenblockbezeichner und Richtungsmaster auf Korrektheit überprüft?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0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20 (+7)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0" w:id="49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49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SCI-ILS vorhanden: Wurden pro SCI-ILS-Verbindung maximal 3 BTP-Verbindungen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1" w:id="50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50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Stimmen die BTP-Prüfsummen in den EAM-Daten mit denen jedes Teilsystems (nur SEC, AzA, NSTW mit SCI-ILS) überein? Existiert keine BTP-Prüfsumme mit der Länge 0?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2" w:id="51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51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Daten vom L90 Data Validator geprüft? Wurde durch das Tool kein Fehler gefunden bzw. wurden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8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28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3" w:id="52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52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Daten vom RENT geprüft? Wurde durch das Tool kein Fehler gefunden bzw. wurden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8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28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4" w:id="53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5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Daten vom SCI-ILS Interface Verification Report geprüft? Wurde durch das Tool kein Fehler gefunden bzw. wurden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8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28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5" w:id="54"/>
            <w:r>
              <w:rPr>
                <w:b/>
                <w:bCs/>
                <w:sz w:val="16"/>
                <w:szCs w:val="16"/>
              </w:rPr>
              <w:t xml:space="preserve">S1</w:t>
            </w:r>
            <w:bookmarkEnd w:id="54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ETCS vorhanden: Stimmen die Netzwerkparameter des Redundanzkanals mit denen des angeschlossenen RBC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SCI-ILS-Parameter im Einzelnen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0" w:id="55"/>
            <w:r>
              <w:rPr>
                <w:b/>
                <w:bCs/>
                <w:sz w:val="16"/>
                <w:szCs w:val="16"/>
              </w:rPr>
              <w:t xml:space="preserve">PA 20</w:t>
            </w:r>
            <w:bookmarkEnd w:id="55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SCI-ILS:</w:t>
            </w:r>
            <w:r>
              <w:rPr>
                <w:sz w:val="18"/>
                <w:szCs w:val="18"/>
              </w:rPr>
              <w:t xml:space="preserve"> IP-Adressen A- und B-Kanal: Nachbarstellwerk (ncd → SMx.yml) und eigenes Stellwerk (cybergate → fwailx.json / fwbilx.json)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1" w:id="56"/>
            <w:r>
              <w:rPr>
                <w:b/>
                <w:bCs/>
                <w:sz w:val="16"/>
                <w:szCs w:val="16"/>
              </w:rPr>
              <w:t xml:space="preserve">PA 21</w:t>
            </w:r>
            <w:bookmarkEnd w:id="56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SCI-ILS:</w:t>
            </w:r>
            <w:r>
              <w:rPr>
                <w:sz w:val="18"/>
                <w:szCs w:val="18"/>
              </w:rPr>
              <w:t xml:space="preserve"> Gateways A- und B-Kanal (ESTW-Netz → SystemdokuESTW_AZLMxx)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2" w:id="57"/>
            <w:r>
              <w:rPr>
                <w:b/>
                <w:bCs/>
                <w:sz w:val="16"/>
                <w:szCs w:val="16"/>
              </w:rPr>
              <w:t xml:space="preserve">PA 22</w:t>
            </w:r>
            <w:bookmarkEnd w:id="57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SCI-ILS:</w:t>
            </w:r>
            <w:r>
              <w:rPr>
                <w:sz w:val="18"/>
                <w:szCs w:val="18"/>
              </w:rPr>
              <w:t xml:space="preserve"> Subnetzmaske (ESTW-Netz → SystemdokuESTW_AZLMxx)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3" w:id="58"/>
            <w:r>
              <w:rPr>
                <w:b/>
                <w:bCs/>
                <w:sz w:val="16"/>
                <w:szCs w:val="16"/>
              </w:rPr>
              <w:t xml:space="preserve">PA 23</w:t>
            </w:r>
            <w:bookmarkEnd w:id="58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SCI-ILS:</w:t>
            </w:r>
            <w:r>
              <w:rPr>
                <w:sz w:val="18"/>
                <w:szCs w:val="18"/>
              </w:rPr>
              <w:t xml:space="preserve"> UDP-Ports (ncd → SMx.yml)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4" w:id="59"/>
            <w:r>
              <w:rPr>
                <w:b/>
                <w:bCs/>
                <w:sz w:val="16"/>
                <w:szCs w:val="16"/>
              </w:rPr>
              <w:t xml:space="preserve">PA 24</w:t>
            </w:r>
            <w:bookmarkEnd w:id="59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SCI-ILS:</w:t>
            </w:r>
            <w:r>
              <w:rPr>
                <w:sz w:val="18"/>
                <w:szCs w:val="18"/>
              </w:rPr>
              <w:t xml:space="preserve"> RaSTA-IDs (ncd → SMx.yml, dezimal)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5" w:id="60"/>
            <w:r>
              <w:rPr>
                <w:b/>
                <w:bCs/>
                <w:sz w:val="16"/>
                <w:szCs w:val="16"/>
              </w:rPr>
              <w:t xml:space="preserve">PA 25</w:t>
            </w:r>
            <w:bookmarkEnd w:id="6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SCI-ILS:</w:t>
            </w:r>
            <w:r>
              <w:rPr>
                <w:sz w:val="18"/>
                <w:szCs w:val="18"/>
              </w:rPr>
              <w:t xml:space="preserve"> RaSTA-Netzwerk Anfangs-MD4 (ncd → SMx.yml; 2er-Pärchen von hinten nach vorne projektiert)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6" w:id="61"/>
            <w:r>
              <w:rPr>
                <w:b/>
                <w:bCs/>
                <w:sz w:val="16"/>
                <w:szCs w:val="16"/>
              </w:rPr>
              <w:t xml:space="preserve">PA 26</w:t>
            </w:r>
            <w:bookmarkEnd w:id="6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SCI-ILS:</w:t>
            </w:r>
            <w:r>
              <w:rPr>
                <w:sz w:val="18"/>
                <w:szCs w:val="18"/>
              </w:rPr>
              <w:t xml:space="preserve"> Streckenblockbezeichner (SM → Ex.MAC, zum ZB-Element als ASCII-Code)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7" w:id="62"/>
            <w:r>
              <w:rPr>
                <w:b/>
                <w:bCs/>
                <w:sz w:val="16"/>
                <w:szCs w:val="16"/>
              </w:rPr>
              <w:t xml:space="preserve">PA 27</w:t>
            </w:r>
            <w:bookmarkEnd w:id="6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SCI-ILS:</w:t>
            </w:r>
            <w:r>
              <w:rPr>
                <w:sz w:val="18"/>
                <w:szCs w:val="18"/>
              </w:rPr>
              <w:t xml:space="preserve"> Richtungsmaster (SM → Ex.MAC, zum ZB-Element als SKETYx-Wert) korrekt?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29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Toolreports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8" w:id="63"/>
            <w:r>
              <w:rPr>
                <w:b/>
                <w:bCs/>
                <w:sz w:val="16"/>
                <w:szCs w:val="16"/>
              </w:rPr>
              <w:t xml:space="preserve">PA 28</w:t>
            </w:r>
            <w:bookmarkEnd w:id="6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Toolprüfung:</w:t>
            </w:r>
            <w:r>
              <w:rPr>
                <w:sz w:val="18"/>
                <w:szCs w:val="18"/>
              </w:rPr>
              <w:t xml:space="preserve"> Sind alle Reports (Data Validator, RENT, SCI-ILS IVR) mit Version/Datum in der elektronischen Ablage abgelegt und jede Meldung einzeln bewertet?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S1 Nr. 32, 33, 34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  Ergebnis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938"/>
        <w:gridCol w:w="1100"/>
        <w:gridCol w:w="1100"/>
        <w:gridCol w:w="1100"/>
        <w:gridCol w:w="1200"/>
        <w:gridCol w:w="1200"/>
      </w:tblGrid>
      <w:tr>
        <w:trPr>
          <w:tblHeader/>
        </w:trPr>
        <w:tc>
          <w:tcPr>
            <w:tcW w:type="dxa" w:w="39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Abschnitt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i. O.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 i. O.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 z.</w:t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  Elemente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  Weichen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  Zugsicherungssystem (ZSS)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  Weitere Prüfungen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  Schnittstellen (SCI-ILS, ETCS) und Toolprüfung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Summe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35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28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Übertrag der Abweichungen ins Prüfbuch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0"/>
        <w:gridCol w:w="1200"/>
        <w:gridCol w:w="1400"/>
        <w:gridCol w:w="3438"/>
        <w:gridCol w:w="1600"/>
        <w:gridCol w:w="10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Frage-Nr.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Prüfbuch-Nr.</w:t>
            </w:r>
          </w:p>
        </w:tc>
        <w:tc>
          <w:tcPr>
            <w:tcW w:type="dxa" w:w="34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Kurzbeschreibung</w:t>
            </w:r>
          </w:p>
        </w:tc>
        <w:tc>
          <w:tcPr>
            <w:tcW w:type="dxa" w:w="1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Gesamtergebnis</w:t>
      </w:r>
    </w:p>
    <w:p>
      <w:pPr>
        <w:spacing w:after="120" w:line="276"/>
      </w:pPr>
      <w:r>
        <w:t xml:space="preserve">TIP S1 – Software Stellwerkskern – alle Prüfschritte durchgeführt:      ☐ Ja      ☐ Nein</w:t>
      </w:r>
    </w:p>
    <w:p>
      <w:pPr>
        <w:spacing w:after="8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00"/>
        <w:gridCol w:w="3519"/>
        <w:gridCol w:w="3519"/>
      </w:tblGrid>
      <w:tr>
        <w:tc>
          <w:tcPr>
            <w:tcW w:type="dxa" w:w="2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Prüfer</w:t>
            </w:r>
          </w:p>
        </w:tc>
        <w:tc>
          <w:tcPr>
            <w:tcW w:type="dxa" w:w="35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Freigebender</w:t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 (Druckbuchstaben)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Firma (falls extern)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Datum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Unterschrift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Projekt: ______________   Bauzustand: ________   ·   Template Ausgabe 01 · Seite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von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</w:pPr>
    <w:r>
      <w:rPr>
        <w:color w:val="7F7F7F"/>
        <w:sz w:val="16"/>
        <w:szCs w:val="16"/>
      </w:rPr>
      <w:t xml:space="preserve">Hitachi Rail · Interne Abnahmeprüfung · Prüfprotokoll Stellwerkskern (TIP S1 + Prüfanleitung)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Prüfprotokoll Stellwerkskern – TIP S1 – Software Stellwerkskern</dc:title>
  <dc:creator>Hitachi Rail – Interne Abnahmeprüfung</dc:creator>
  <cp:lastModifiedBy>Un-named</cp:lastModifiedBy>
  <cp:revision>1</cp:revision>
  <dcterms:created xsi:type="dcterms:W3CDTF">2026-10-08T15:28:17.522Z</dcterms:created>
  <dcterms:modified xsi:type="dcterms:W3CDTF">2026-10-08T15:28:17.528Z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