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Kritisches Feedback zum Konzept</w:t>
      </w:r>
    </w:p>
    <w:p>
      <w:pPr>
        <w:pStyle w:val="Subtitle"/>
      </w:pPr>
      <w:r>
        <w:t xml:space="preserve">Der Besitzer des Eiffelturms - Prüfung des Erzähl-Leitfadens</w:t>
      </w:r>
    </w:p>
    <w:p>
      <w:r>
        <w:t xml:space="preserve">Dieses Dokument fasst die kritische Prüfung des Konzepts (Geschichte_Arbeitsdokument) zusammen: was gut funktioniert, was noch nicht ganz passt und wo Änderungen sinnvoll sind. Stand: 14.09.2026.</w:t>
      </w:r>
    </w:p>
    <w:p>
      <w:pPr>
        <w:pStyle w:val="Heading1"/>
      </w:pPr>
      <w:r>
        <w:t xml:space="preserve">Kurzfazit</w:t>
      </w:r>
    </w:p>
    <w:p>
      <w:r>
        <w:t xml:space="preserve">Ein sehr durchdachter, in sich konsistenter Leitfaden mit tragfähigem Fundament. Die grösste Schwäche ist ein Missverhältnis zwischen der Stoffmenge und dem angepeilten Umfang, dazu ein bewusst entschärfter und dadurch spannungsarmer Höhepunkt sowie eine für ein Hörformat zu schwere Regel-Mechanik.</w:t>
      </w:r>
    </w:p>
    <w:p>
      <w:pPr>
        <w:pStyle w:val="Heading1"/>
      </w:pPr>
      <w:r>
        <w:t xml:space="preserve">1. Grösstes Problem: Umfang vs. Stoffmenge</w:t>
      </w:r>
    </w:p>
    <w:p>
      <w:r>
        <w:t xml:space="preserve">3000 Wörter (12 Szenen à ca. 250) stehen einem Stoff gegenüber, der eigentlich eine Novelle trägt:</w:t>
      </w:r>
    </w:p>
    <w:p>
      <w:pPr>
        <w:pStyle w:val="ListParagraph"/>
        <w:numPr>
          <w:ilvl w:val="0"/>
          <w:numId w:val="1"/>
        </w:numPr>
      </w:pPr>
      <w:r>
        <w:t xml:space="preserve">eine mehrschichtige Rechtskonstruktion (Original + Zusatzvereinbarung, Kontrollstreifen, Eigenbesitz vs. Verwahrung, Möbel-samt-Inhalt-Klausel, Betriebsrecht der Stadt, keine 20-Jahres-Frist)</w:t>
      </w:r>
    </w:p>
    <w:p>
      <w:pPr>
        <w:pStyle w:val="ListParagraph"/>
        <w:numPr>
          <w:ilvl w:val="0"/>
          <w:numId w:val="1"/>
        </w:numPr>
      </w:pPr>
      <w:r>
        <w:t xml:space="preserve">eine Vorgeschichte über 130 Jahre (Marceau 1888, Tod 1890, 1978, 1998) inklusive Archiv-Vertuschung</w:t>
      </w:r>
    </w:p>
    <w:p>
      <w:pPr>
        <w:pStyle w:val="ListParagraph"/>
        <w:numPr>
          <w:ilvl w:val="0"/>
          <w:numId w:val="1"/>
        </w:numPr>
      </w:pPr>
      <w:r>
        <w:t xml:space="preserve">sechs Entdeckungen</w:t>
      </w:r>
    </w:p>
    <w:p>
      <w:pPr>
        <w:pStyle w:val="ListParagraph"/>
        <w:numPr>
          <w:ilvl w:val="0"/>
          <w:numId w:val="1"/>
        </w:numPr>
      </w:pPr>
      <w:r>
        <w:t xml:space="preserve">sechs benannte Figuren plus die Stadt</w:t>
      </w:r>
    </w:p>
    <w:p>
      <w:pPr>
        <w:pStyle w:val="ListParagraph"/>
        <w:numPr>
          <w:ilvl w:val="0"/>
          <w:numId w:val="1"/>
        </w:numPr>
      </w:pPr>
      <w:r>
        <w:t xml:space="preserve">ein Arbeitsplatz-Nebenstrang (Abmahnung, Linas Kundenpräsentation)</w:t>
      </w:r>
    </w:p>
    <w:p>
      <w:pPr>
        <w:pStyle w:val="ListParagraph"/>
        <w:numPr>
          <w:ilvl w:val="0"/>
          <w:numId w:val="1"/>
        </w:numPr>
      </w:pPr>
      <w:r>
        <w:t xml:space="preserve">ein Vertrauenskonflikt mit Streit und Aussprache</w:t>
      </w:r>
    </w:p>
    <w:p>
      <w:r>
        <w:t xml:space="preserve">In 250 Wörtern pro Szene lässt sich nicht gleichzeitig die falsche Archivablage erklären, der Kontrollstreifen einführen, die juristische Feinheit vermitteln UND eine emotionale Beat setzen.</w:t>
      </w:r>
    </w:p>
    <w:p>
      <w:r>
        <w:t xml:space="preserve">Empfehlung: Entweder auf realistisch 6000 bis 9000 Wörter gehen, oder den Plot radikal entschlacken (weniger Regeln, weniger Figuren, weniger Matching-Rätsel). So wie es steht, wird die Erzählfassung entweder gehetzt oder sie sprengt das Budget - vermutlich beides.</w:t>
      </w:r>
    </w:p>
    <w:p>
      <w:pPr>
        <w:pStyle w:val="Heading1"/>
      </w:pPr>
      <w:r>
        <w:t xml:space="preserve">2. Der Höhepunkt ist zu spannungsarm</w:t>
      </w:r>
    </w:p>
    <w:p>
      <w:r>
        <w:t xml:space="preserve">Das Konzept entschärft fast jede Bedrohung: keine Gewalt, kein zweiter Bieter, kein Gerichtsprozess, keine Verschwörung. Der 17-Uhr-Countdown am Donnerstag wird absichtlich neutralisiert, sobald der Fund gesichert ist. Vautrin gibt das Original am Ende fast widerstandslos zurück.</w:t>
      </w:r>
    </w:p>
    <w:p>
      <w:r>
        <w:t xml:space="preserve">Das ist erzähllogisch sauber, aber dramaturgisch flau: Der letzte Akt ist ein ruhiges Papier-Standoff ohne Zeitdruck. Für eine als Abenteuergeschichte angekündigte Story ist der äussere Einsatz sehr dünn.</w:t>
      </w:r>
    </w:p>
    <w:p>
      <w:r>
        <w:t xml:space="preserve">Empfehlung: Eine echte Rest-Bedrohung oder ein Zeitmoment im Klimax lassen (z. B. Vautrin nimmt das Original kurz tatsächlich an sich), bevor es entschärft wird. Zumindest ein Beat, in dem der Ausgang wirklich offen wirkt.</w:t>
      </w:r>
    </w:p>
    <w:p>
      <w:pPr>
        <w:pStyle w:val="Heading1"/>
      </w:pPr>
      <w:r>
        <w:t xml:space="preserve">3. Die Regel-Mechanik ist zu schwer für Audio</w:t>
      </w:r>
    </w:p>
    <w:p>
      <w:r>
        <w:t xml:space="preserve">Es ist eine Hörgeschichte. Zuhörer können sich rechtmässiger Eigenbesitzer, die Unterscheidung Übertragung/Verwahrung, die Möbel-samt-Inhalt-Klausel UND den Kontrollstreifen nicht merken - aber der Klimax setzt genau dieses Verständnis voraus.</w:t>
      </w:r>
    </w:p>
    <w:p>
      <w:r>
        <w:t xml:space="preserve">Empfehlung: Die Eigentumsregel auf einen merkbaren Satz eindampfen (Wer das Originalblatt B 17 rechtmässig besitzt, besitzt den Turm). Kontrollstreifen und Verwahrungs-Feinheit nur als Bild andeuten, nicht als Regelwerk.</w:t>
      </w:r>
    </w:p>
    <w:p>
      <w:pPr>
        <w:pStyle w:val="Heading1"/>
      </w:pPr>
      <w:r>
        <w:t xml:space="preserve">4. Das defensive Meta-Gerüst signalisiert eine wacklige Prämisse</w:t>
      </w:r>
    </w:p>
    <w:p>
      <w:r>
        <w:t xml:space="preserve">Ganze Abschnitte (Festgelegte Antworten, Weshalb die Abkürzungen nicht genügen, Kontrollpunkte) existieren nur, um Plotlöcher vorab zu stopfen. Als Disziplin lobenswert - aber dass fünffach erklärt werden muss, warum Internetsuche, Polizei und reicher Käufer nicht funktionieren, zeigt, dass die Kern-Prämisse unter Last steht.</w:t>
      </w:r>
    </w:p>
    <w:p>
      <w:r>
        <w:t xml:space="preserve">Besonders die Auflösung (die Stadt verhandelt seelenruhig einen Rückkauf für 1,2 Mio. nach nur sechs Monaten) ist unrealistisch entspannt - real würde jahrelang prozessiert. Das untergräbt den mühsam aufgebauten Realismus.</w:t>
      </w:r>
    </w:p>
    <w:p>
      <w:pPr>
        <w:pStyle w:val="Heading1"/>
      </w:pPr>
      <w:r>
        <w:t xml:space="preserve">5. Zu viele Figuren für das Format</w:t>
      </w:r>
    </w:p>
    <w:p>
      <w:r>
        <w:t xml:space="preserve">Sechs benannte Figuren in einer kurzen Audiostory überfordern Zuhörer. Besonders Colette und Lenoir haben schmale Funktionen: Colette liefert Methode plus Belege (könnte in Lina aufgehen), Lenoir ist fast nur Reibungsfläche (liesse sich nahezu offscreen halten).</w:t>
      </w:r>
    </w:p>
    <w:p>
      <w:r>
        <w:t xml:space="preserve">Empfehlung: Auf Noé, Lina, Vautrin und Hélène reduzieren; Colettes Beweis-Funktion zu Lina verschieben.</w:t>
      </w:r>
    </w:p>
    <w:p>
      <w:pPr>
        <w:pStyle w:val="Heading1"/>
      </w:pPr>
      <w:r>
        <w:t xml:space="preserve">6. Der Schluss deflationiert die eigene Wunscherfüllung</w:t>
      </w:r>
    </w:p>
    <w:p>
      <w:r>
        <w:t xml:space="preserve">Er besitzt kurz den Eiffelturm - und das Ergebnis ist eine bescheidene Wohnung und eine Weiterbildung. 1,2 Mio., dann gedrittelt nach Kosten, ist für den gigantischen Aufbau erstaunlich klein und kann Zuschauer unbefriedigt lassen.</w:t>
      </w:r>
    </w:p>
    <w:p>
      <w:r>
        <w:t xml:space="preserve">Empfehlung: Entweder die Bodenständigkeit stärker als bewusstes Thema verkaufen, oder den Payoff spürbarer machen.</w:t>
      </w:r>
    </w:p>
    <w:p>
      <w:pPr>
        <w:pStyle w:val="Heading1"/>
      </w:pPr>
      <w:r>
        <w:t xml:space="preserve">7. Kleinere Punkte</w:t>
      </w:r>
    </w:p>
    <w:p>
      <w:pPr>
        <w:pStyle w:val="ListParagraph"/>
        <w:numPr>
          <w:ilvl w:val="0"/>
          <w:numId w:val="1"/>
        </w:numPr>
      </w:pPr>
      <w:r>
        <w:t xml:space="preserve">Titel spoilert: Der Besitzer des Eiffelturms verrät den Ausgang - als Klick-Hook okay, als Mystery kostet es Spannung.</w:t>
      </w:r>
    </w:p>
    <w:p>
      <w:pPr>
        <w:pStyle w:val="ListParagraph"/>
        <w:numPr>
          <w:ilvl w:val="0"/>
          <w:numId w:val="1"/>
        </w:numPr>
      </w:pPr>
      <w:r>
        <w:t xml:space="preserve">POV-Bruch droht: enge Noé-Perspektive, aber Lina handelt viel offscreen (Notar anrufen, Vautrin überprüfen). Das führt in wenigen Wörtern zu Nacherzähl-Klötzen.</w:t>
      </w:r>
    </w:p>
    <w:p>
      <w:pPr>
        <w:pStyle w:val="ListParagraph"/>
        <w:numPr>
          <w:ilvl w:val="0"/>
          <w:numId w:val="1"/>
        </w:numPr>
      </w:pPr>
      <w:r>
        <w:t xml:space="preserve">Zu viele Matching-Rätsel: Kontrollstreifen/Urkundenrand, Furnierdreieck/Katalogfoto, Ma-skizze/Hohlraum - dreimal dieselbe A-passt-zu-B-Mechanik, in Audio repetitiv.</w:t>
      </w:r>
    </w:p>
    <w:p>
      <w:pPr>
        <w:pStyle w:val="ListParagraph"/>
        <w:numPr>
          <w:ilvl w:val="0"/>
          <w:numId w:val="1"/>
        </w:numPr>
      </w:pPr>
      <w:r>
        <w:t xml:space="preserve">Redundanz im Leitfaden: Fiktions-Disclaimer, Betriebsrecht, keine Romanze, Colette-ist-nicht-Eigentümerin werden je 2-3x wiederholt - straffbar.</w:t>
      </w:r>
    </w:p>
    <w:p>
      <w:pPr>
        <w:pStyle w:val="Heading1"/>
      </w:pPr>
      <w:r>
        <w:t xml:space="preserve">Was gut funktioniert</w:t>
      </w:r>
    </w:p>
    <w:p>
      <w:pPr>
        <w:pStyle w:val="ListParagraph"/>
        <w:numPr>
          <w:ilvl w:val="0"/>
          <w:numId w:val="1"/>
        </w:numPr>
      </w:pPr>
      <w:r>
        <w:t xml:space="preserve">geerdete Protagonisten ohne Superkräfte</w:t>
      </w:r>
    </w:p>
    <w:p>
      <w:pPr>
        <w:pStyle w:val="ListParagraph"/>
        <w:numPr>
          <w:ilvl w:val="0"/>
          <w:numId w:val="1"/>
        </w:numPr>
      </w:pPr>
      <w:r>
        <w:t xml:space="preserve">klare, glaubwürdige Motivationen</w:t>
      </w:r>
    </w:p>
    <w:p>
      <w:pPr>
        <w:pStyle w:val="ListParagraph"/>
        <w:numPr>
          <w:ilvl w:val="0"/>
          <w:numId w:val="1"/>
        </w:numPr>
      </w:pPr>
      <w:r>
        <w:t xml:space="preserve">disziplinierte Vorausdeutung (jeder Hinweis vor seiner Auflösung gepflanzt)</w:t>
      </w:r>
    </w:p>
    <w:p>
      <w:pPr>
        <w:pStyle w:val="ListParagraph"/>
        <w:numPr>
          <w:ilvl w:val="0"/>
          <w:numId w:val="1"/>
        </w:numPr>
      </w:pPr>
      <w:r>
        <w:t xml:space="preserve">konsequente Vermeidung von Deus-ex-Machina</w:t>
      </w:r>
    </w:p>
    <w:p>
      <w:pPr>
        <w:pStyle w:val="ListParagraph"/>
        <w:numPr>
          <w:ilvl w:val="0"/>
          <w:numId w:val="1"/>
        </w:numPr>
      </w:pPr>
      <w:r>
        <w:t xml:space="preserve">thematisch sauber gespiegelter Antagonist/Geldgeber (beide scheitern am Kontroll- bzw. Anerkennungsdrang)</w:t>
      </w:r>
    </w:p>
    <w:p>
      <w:pPr>
        <w:pStyle w:val="Heading1"/>
      </w:pPr>
      <w:r>
        <w:t xml:space="preserve">Priorität für Änderungen</w:t>
      </w:r>
    </w:p>
    <w:p>
      <w:pPr>
        <w:pStyle w:val="ListParagraph"/>
        <w:numPr>
          <w:ilvl w:val="0"/>
          <w:numId w:val="1"/>
        </w:numPr>
      </w:pPr>
      <w:r>
        <w:t xml:space="preserve">1. Umfang an den Stoff anpassen (aufstocken ODER Plot entschlacken) - Wurzel der meisten Folgeprobleme.</w:t>
      </w:r>
    </w:p>
    <w:p>
      <w:pPr>
        <w:pStyle w:val="ListParagraph"/>
        <w:numPr>
          <w:ilvl w:val="0"/>
          <w:numId w:val="1"/>
        </w:numPr>
      </w:pPr>
      <w:r>
        <w:t xml:space="preserve">2. Klimax mit echter Rest-Spannung/Zeitdruck versehen.</w:t>
      </w:r>
    </w:p>
    <w:p>
      <w:pPr>
        <w:pStyle w:val="ListParagraph"/>
        <w:numPr>
          <w:ilvl w:val="0"/>
          <w:numId w:val="1"/>
        </w:numPr>
      </w:pPr>
      <w:r>
        <w:t xml:space="preserve">3. Rechtsregel auf einen merkbaren Satz reduzieren.</w:t>
      </w:r>
    </w:p>
    <w:p>
      <w:pPr>
        <w:pStyle w:val="ListParagraph"/>
        <w:numPr>
          <w:ilvl w:val="0"/>
          <w:numId w:val="1"/>
        </w:numPr>
      </w:pPr>
      <w:r>
        <w:t xml:space="preserve">4. Figuren auf vier reduzieren.</w:t>
      </w:r>
    </w:p>
    <w:p>
      <w:pPr>
        <w:pStyle w:val="ListParagraph"/>
        <w:numPr>
          <w:ilvl w:val="0"/>
          <w:numId w:val="1"/>
        </w:numPr>
      </w:pPr>
      <w:r>
        <w:t xml:space="preserve">5. Ende-Payoff überdenken.</w:t>
      </w:r>
    </w:p>
    <w:p>
      <w:pPr>
        <w:pStyle w:val="Heading1"/>
      </w:pPr>
      <w:r>
        <w:t xml:space="preserve">Hinweis zum Hörbuch-Umfang</w:t>
      </w:r>
    </w:p>
    <w:p>
      <w:r>
        <w:t xml:space="preserve">Bei 130 bis 150 gesprochenen Wörtern pro Minute entspricht ein 10- bis 15-minütiges Hörbuch rund 1400 bis 2100 Wörtern (Zielwert ca. 1500 bis 1800 Wörter inkl. Pausen). Die aktuellen 3000 Wörter zielen dagegen auf 20 bis 24 Minuten - für ein 10-15-min-Format müsste der Text etwa halbiert und der Plot entsprechend entschlackt werden.</w:t>
      </w:r>
    </w:p>
    <w:sectPr>
      <w:pgSz w:w="11906" w:h="16838"/>
      <w:pgMar w:top="1417" w:right="1417" w:bottom="1417" w:left="1417"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pPr>
      <w:spacing w:after="120"/>
    </w:pPr>
    <w:rPr>
      <w:rFonts w:ascii="Calibri" w:hAnsi="Calibri"/>
      <w:sz w:val="22"/>
    </w:rPr>
  </w:style>
  <w:style w:type="paragraph" w:styleId="Title">
    <w:name w:val="Title"/>
    <w:pPr>
      <w:spacing w:after="120"/>
    </w:pPr>
    <w:rPr>
      <w:rFonts w:ascii="Calibri Light" w:hAnsi="Calibri Light"/>
      <w:sz w:val="56"/>
      <w:color w:val="2F5496"/>
    </w:rPr>
  </w:style>
  <w:style w:type="paragraph" w:styleId="Subtitle">
    <w:name w:val="Subtitle"/>
    <w:pPr>
      <w:spacing w:after="240"/>
    </w:pPr>
    <w:rPr>
      <w:rFonts w:ascii="Calibri" w:hAnsi="Calibri"/>
      <w:sz w:val="28"/>
      <w:color w:val="5A5A5A"/>
      <w:i/>
    </w:rPr>
  </w:style>
  <w:style w:type="paragraph" w:styleId="Heading1">
    <w:name w:val="heading 1"/>
    <w:basedOn w:val="Normal"/>
    <w:pPr>
      <w:keepNext/>
      <w:spacing w:before="280" w:after="120"/>
      <w:outlineLvl w:val="0"/>
    </w:pPr>
    <w:rPr>
      <w:rFonts w:ascii="Calibri Light" w:hAnsi="Calibri Light"/>
      <w:b/>
      <w:sz w:val="30"/>
      <w:color w:val="2F5496"/>
    </w:rPr>
  </w:style>
  <w:style w:type="paragraph" w:styleId="Heading2">
    <w:name w:val="heading 2"/>
    <w:basedOn w:val="Normal"/>
    <w:pPr>
      <w:keepNext/>
      <w:spacing w:before="200" w:after="80"/>
      <w:outlineLvl w:val="1"/>
    </w:pPr>
    <w:rPr>
      <w:rFonts w:ascii="Calibri Light" w:hAnsi="Calibri Light"/>
      <w:b/>
      <w:sz w:val="26"/>
      <w:color w:val="2F5496"/>
    </w:rPr>
  </w:style>
  <w:style w:type="paragraph" w:styleId="ListParagraph">
    <w:name w:val="List Paragraph"/>
    <w:basedOn w:val="Normal"/>
    <w:pPr>
      <w:ind w:left="720"/>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