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Validated catalogs support conditional refinement of simulated intervention pairs.</w:t>
      </w:r>
    </w:p>
    <w:p>
      <w:pPr>
        <w:numPr>
          <w:ilvl w:val="0"/>
          <w:numId w:val="1001"/>
        </w:numPr>
        <w:pStyle w:val="Compact"/>
      </w:pPr>
      <w:r>
        <w:t xml:space="preserve">Frozen-input tests do not establish an LLM advantage over simple selectors.</w:t>
      </w:r>
    </w:p>
    <w:p>
      <w:pPr>
        <w:numPr>
          <w:ilvl w:val="0"/>
          <w:numId w:val="1001"/>
        </w:numPr>
        <w:pStyle w:val="Compact"/>
      </w:pPr>
      <w:r>
        <w:t xml:space="preserve">Repeated searches reveal substantial conditional variation in some networks.</w:t>
      </w:r>
    </w:p>
    <w:p>
      <w:pPr>
        <w:numPr>
          <w:ilvl w:val="0"/>
          <w:numId w:val="1001"/>
        </w:numPr>
        <w:pStyle w:val="Compact"/>
      </w:pPr>
      <w:r>
        <w:t xml:space="preserve">Synthetic demand intensity changes method rankings and congestion severity.</w:t>
      </w:r>
    </w:p>
    <w:p>
      <w:pPr>
        <w:numPr>
          <w:ilvl w:val="0"/>
          <w:numId w:val="1001"/>
        </w:numPr>
        <w:pStyle w:val="Compact"/>
      </w:pPr>
      <w:r>
        <w:t xml:space="preserve">Aggregate feasibility can coexist with concentrated remote deterioration.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2026-10-04T22:24:49Z</dcterms:created>
  <dcterms:modified xsi:type="dcterms:W3CDTF">2026-10-04T22:24:49Z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