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SimTIO: A Simulation-Grounded Multi-Agent LLM Framework for Compositional Traffic Intervention Optimization</w:t>
      </w:r>
    </w:p>
    <w:p>
      <w:pPr>
        <w:pStyle w:val="BodyText"/>
      </w:pPr>
      <w:r>
        <w:t xml:space="preserve">Shuyang Li and Ruimin Ke (corresponding author)</w:t>
      </w:r>
      <w:r>
        <w:br/>
      </w:r>
      <w:r>
        <w:t xml:space="preserve">Civil and Environmental Engineering</w:t>
      </w:r>
      <w:r>
        <w:br/>
      </w:r>
      <w:r>
        <w:t xml:space="preserve">Rensselaer Polytechnic Institute</w:t>
      </w:r>
      <w:r>
        <w:br/>
      </w:r>
      <w:r>
        <w:t xml:space="preserve">110 8th Street, Troy, New York 12180-3590, USA</w:t>
      </w:r>
    </w:p>
    <w:p>
      <w:pPr>
        <w:pStyle w:val="BodyText"/>
      </w:pPr>
      <w:r>
        <w:t xml:space="preserve">Shuyang Li:</w:t>
      </w:r>
      <w:r>
        <w:t xml:space="preserve"> </w:t>
      </w:r>
      <w:hyperlink r:id="rId20">
        <w:r>
          <w:rPr>
            <w:rStyle w:val="Hyperlink"/>
          </w:rPr>
          <w:t xml:space="preserve">lis36@rpi.edu</w:t>
        </w:r>
      </w:hyperlink>
      <w:r>
        <w:t xml:space="preserve">; ORCID: 0009-0006-8588-2947.</w:t>
      </w:r>
      <w:r>
        <w:br/>
      </w:r>
      <w:r>
        <w:t xml:space="preserve">Ruimin Ke:</w:t>
      </w:r>
      <w:r>
        <w:t xml:space="preserve"> </w:t>
      </w:r>
      <w:hyperlink r:id="rId21">
        <w:r>
          <w:rPr>
            <w:rStyle w:val="Hyperlink"/>
          </w:rPr>
          <w:t xml:space="preserve">ker@rpi.edu</w:t>
        </w:r>
      </w:hyperlink>
      <w:r>
        <w:t xml:space="preserve">.</w:t>
      </w:r>
    </w:p>
    <w:bookmarkStart w:id="22" w:name="correspondence"/>
    <w:p>
      <w:pPr>
        <w:pStyle w:val="Heading1"/>
      </w:pPr>
      <w:r>
        <w:t xml:space="preserve">Correspondence</w:t>
      </w:r>
    </w:p>
    <w:p>
      <w:pPr>
        <w:pStyle w:val="FirstParagraph"/>
      </w:pPr>
      <w:r>
        <w:t xml:space="preserve">Ruimin Ke</w:t>
      </w:r>
      <w:r>
        <w:br/>
      </w:r>
      <w:r>
        <w:t xml:space="preserve">Civil and Environmental Engineering, Rensselaer Polytechnic Institute</w:t>
      </w:r>
      <w:r>
        <w:br/>
      </w:r>
      <w:r>
        <w:t xml:space="preserve">110 8th Street, Troy, New York 12180-3590, USA</w:t>
      </w:r>
      <w:r>
        <w:br/>
      </w: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ker@rpi.edu</w:t>
        </w:r>
      </w:hyperlink>
    </w:p>
    <w:bookmarkEnd w:id="22"/>
    <w:bookmarkStart w:id="23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t xml:space="preserve">Shuyang Li: Conceptualization, Methodology, Software, Investigation, Formal analysis, Visualization, Writing—original draft. Ruimin Ke: Supervision, Writing—review and editing.</w:t>
      </w:r>
    </w:p>
    <w:bookmarkEnd w:id="23"/>
    <w:bookmarkStart w:id="24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was supported by the IBM–RPI Future of Computing Research Collaboration (FCRC).</w:t>
      </w:r>
    </w:p>
    <w:bookmarkEnd w:id="24"/>
    <w:bookmarkStart w:id="25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competing interests.</w:t>
      </w:r>
    </w:p>
    <w:bookmarkEnd w:id="25"/>
    <w:bookmarkStart w:id="26" w:name="author-approval"/>
    <w:p>
      <w:pPr>
        <w:pStyle w:val="Heading1"/>
      </w:pPr>
      <w:r>
        <w:t xml:space="preserve">Author approval</w:t>
      </w:r>
    </w:p>
    <w:p>
      <w:pPr>
        <w:pStyle w:val="FirstParagraph"/>
      </w:pPr>
      <w:r>
        <w:t xml:space="preserve">All authors have reviewed and approved the manuscript and agree to its submission.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ker@rpi.edu" TargetMode="External" /><Relationship Type="http://schemas.openxmlformats.org/officeDocument/2006/relationships/hyperlink" Id="rId20" Target="mailto:lis36@rpi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ker@rpi.edu" TargetMode="External" /><Relationship Type="http://schemas.openxmlformats.org/officeDocument/2006/relationships/hyperlink" Id="rId20" Target="mailto:lis36@rpi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2026-10-04T22:24:49Z</dcterms:created>
  <dcterms:modified xsi:type="dcterms:W3CDTF">2026-10-04T22:24:49Z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