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5D52" w14:textId="77777777" w:rsidR="00C2733E" w:rsidRDefault="00C2733E" w:rsidP="00C2733E">
      <w:pPr>
        <w:jc w:val="center"/>
        <w:rPr>
          <w:rStyle w:val="TitleChar"/>
        </w:rPr>
      </w:pPr>
      <w:r w:rsidRPr="00C2733E">
        <w:rPr>
          <w:rStyle w:val="TitleChar"/>
        </w:rPr>
        <w:t>Predicting Salinity Intrusion in the Vietnamese Mekong Delta — Initial Problem Description, Solution and Plan</w:t>
      </w:r>
    </w:p>
    <w:p w14:paraId="27ADEB51" w14:textId="3CE61D6B" w:rsidR="00C2733E" w:rsidRDefault="00C2733E" w:rsidP="00C2733E">
      <w:pPr>
        <w:pStyle w:val="Subtitle"/>
        <w:jc w:val="center"/>
      </w:pPr>
      <w:r>
        <w:t>Christopher Mackle</w:t>
      </w:r>
    </w:p>
    <w:p w14:paraId="05FD19E5" w14:textId="423FE12A" w:rsidR="00C2733E" w:rsidRDefault="00C2733E" w:rsidP="00C2733E">
      <w:pPr>
        <w:pStyle w:val="Heading2"/>
      </w:pPr>
      <w:r w:rsidRPr="00C2733E">
        <w:t>Introduction</w:t>
      </w:r>
    </w:p>
    <w:p w14:paraId="1AB10C12" w14:textId="7C15BC14" w:rsidR="00C2733E" w:rsidRPr="00C2733E" w:rsidRDefault="00C2733E" w:rsidP="00C2733E">
      <w:r>
        <w:t xml:space="preserve">This project develops a reproducible software </w:t>
      </w:r>
      <w:r w:rsidR="00682B86">
        <w:t xml:space="preserve">and model </w:t>
      </w:r>
      <w:proofErr w:type="spellStart"/>
      <w:r w:rsidR="00682B86">
        <w:t>pipline</w:t>
      </w:r>
      <w:proofErr w:type="spellEnd"/>
      <w:r w:rsidR="00682B86">
        <w:t xml:space="preserve"> to effectively analyse and forecast salinity intrusion across 44 monitoring stations in the Vietnamese Mekong Delta. Short term forecasts and exceedance warnings at operation thresholds can support sluice operations and irrigation planning. The work stats with a lightweight station data viewer to understand data quality and patterns, then builds and evaluates baselines and deep learning models for regression and / or classification.</w:t>
      </w:r>
    </w:p>
    <w:p w14:paraId="2E95A90D" w14:textId="77777777" w:rsidR="00C2733E" w:rsidRDefault="00C2733E" w:rsidP="00C2733E">
      <w:pPr>
        <w:pStyle w:val="Heading2"/>
      </w:pPr>
      <w:r w:rsidRPr="00C2733E">
        <w:t>Problem Description</w:t>
      </w:r>
    </w:p>
    <w:p w14:paraId="0B071EF8" w14:textId="703FC00C" w:rsidR="00682B86" w:rsidRDefault="00682B86" w:rsidP="00682B86">
      <w:r>
        <w:t xml:space="preserve">Using the 5 </w:t>
      </w:r>
      <w:proofErr w:type="spellStart"/>
      <w:r>
        <w:t>Ws</w:t>
      </w:r>
      <w:proofErr w:type="spellEnd"/>
      <w:r>
        <w:t xml:space="preserve"> I will frame the problem:</w:t>
      </w:r>
    </w:p>
    <w:p w14:paraId="1056D301" w14:textId="1389445F" w:rsidR="00682B86" w:rsidRDefault="00682B86" w:rsidP="00682B86">
      <w:pPr>
        <w:pStyle w:val="ListParagraph"/>
        <w:numPr>
          <w:ilvl w:val="0"/>
          <w:numId w:val="1"/>
        </w:numPr>
      </w:pPr>
      <w:r>
        <w:t>Who? Farmers, water managers and households in Mekong Delta.</w:t>
      </w:r>
    </w:p>
    <w:p w14:paraId="5FC017F0" w14:textId="3E4AC941" w:rsidR="00682B86" w:rsidRDefault="00682B86" w:rsidP="00682B86">
      <w:pPr>
        <w:pStyle w:val="ListParagraph"/>
        <w:numPr>
          <w:ilvl w:val="0"/>
          <w:numId w:val="1"/>
        </w:numPr>
      </w:pPr>
      <w:r>
        <w:t xml:space="preserve">What? Salinity intrusion propagates inland due to low upstream discharge and coastal forcing, creating periods where salinity exceeds thresholds that constrain irrigation and </w:t>
      </w:r>
      <w:proofErr w:type="spellStart"/>
      <w:r>
        <w:t>suppy</w:t>
      </w:r>
      <w:proofErr w:type="spellEnd"/>
      <w:r>
        <w:t>.</w:t>
      </w:r>
    </w:p>
    <w:p w14:paraId="62FC5E42" w14:textId="06E24123" w:rsidR="00682B86" w:rsidRDefault="00682B86" w:rsidP="00682B86">
      <w:pPr>
        <w:pStyle w:val="ListParagraph"/>
        <w:numPr>
          <w:ilvl w:val="0"/>
          <w:numId w:val="1"/>
        </w:numPr>
      </w:pPr>
      <w:r>
        <w:t>When? Mostly dry season.</w:t>
      </w:r>
    </w:p>
    <w:p w14:paraId="0CFE8744" w14:textId="4561434B" w:rsidR="00682B86" w:rsidRPr="00682B86" w:rsidRDefault="00682B86" w:rsidP="00682B86">
      <w:pPr>
        <w:pStyle w:val="ListParagraph"/>
        <w:numPr>
          <w:ilvl w:val="0"/>
          <w:numId w:val="1"/>
        </w:numPr>
      </w:pPr>
      <w:r>
        <w:t>Where? Along the main channels Tein and hau and canals. Here there are 44 instrumental stations.</w:t>
      </w:r>
    </w:p>
    <w:p w14:paraId="0BA58F2D" w14:textId="77777777" w:rsidR="00C2733E" w:rsidRDefault="00C2733E" w:rsidP="00C2733E">
      <w:pPr>
        <w:pStyle w:val="Heading2"/>
      </w:pPr>
      <w:r w:rsidRPr="00C2733E">
        <w:t>Goals and requirements</w:t>
      </w:r>
    </w:p>
    <w:p w14:paraId="359586B7" w14:textId="1D241EF1" w:rsidR="00682B86" w:rsidRDefault="00682B86" w:rsidP="00682B86">
      <w:r>
        <w:t xml:space="preserve">High level goal: deliver a validated, reproducible </w:t>
      </w:r>
      <w:proofErr w:type="spellStart"/>
      <w:r>
        <w:t>forcasting</w:t>
      </w:r>
      <w:proofErr w:type="spellEnd"/>
      <w:r>
        <w:t xml:space="preserve"> system and a small </w:t>
      </w:r>
      <w:proofErr w:type="spellStart"/>
      <w:r>
        <w:t>viewr</w:t>
      </w:r>
      <w:proofErr w:type="spellEnd"/>
      <w:r>
        <w:t xml:space="preserve"> app that together enable.</w:t>
      </w:r>
    </w:p>
    <w:p w14:paraId="2C566AEB" w14:textId="22EE54E0" w:rsidR="00682B86" w:rsidRDefault="00682B86" w:rsidP="00682B86">
      <w:pPr>
        <w:pStyle w:val="ListParagraph"/>
        <w:numPr>
          <w:ilvl w:val="0"/>
          <w:numId w:val="2"/>
        </w:numPr>
      </w:pPr>
      <w:r>
        <w:t>Exploration of station time series and data quality.</w:t>
      </w:r>
    </w:p>
    <w:p w14:paraId="68D306DD" w14:textId="1AAEC156" w:rsidR="00682B86" w:rsidRDefault="00682B86" w:rsidP="00682B86">
      <w:pPr>
        <w:pStyle w:val="ListParagraph"/>
        <w:numPr>
          <w:ilvl w:val="0"/>
          <w:numId w:val="2"/>
        </w:numPr>
      </w:pPr>
      <w:r>
        <w:t>Forecasts of salinity values and/ or exceedance probabilities to operational t</w:t>
      </w:r>
      <w:r w:rsidR="00D078DB">
        <w:t>h</w:t>
      </w:r>
      <w:r>
        <w:t>resholds</w:t>
      </w:r>
      <w:r w:rsidR="00D078DB">
        <w:t>.</w:t>
      </w:r>
    </w:p>
    <w:p w14:paraId="76BBB8D5" w14:textId="18F5D7F7" w:rsidR="00D078DB" w:rsidRDefault="00D078DB" w:rsidP="00682B86">
      <w:pPr>
        <w:pStyle w:val="ListParagraph"/>
        <w:numPr>
          <w:ilvl w:val="0"/>
          <w:numId w:val="2"/>
        </w:numPr>
      </w:pPr>
      <w:r>
        <w:t xml:space="preserve">Clear station wise scorecards, uncertainty bands and concise </w:t>
      </w:r>
      <w:proofErr w:type="spellStart"/>
      <w:r>
        <w:t>interpredability</w:t>
      </w:r>
      <w:proofErr w:type="spellEnd"/>
      <w:r>
        <w:t xml:space="preserve"> outputs.</w:t>
      </w:r>
    </w:p>
    <w:p w14:paraId="627EA55A" w14:textId="39BA0B91" w:rsidR="00D078DB" w:rsidRDefault="00D078DB" w:rsidP="00D078DB">
      <w:pPr>
        <w:ind w:left="360"/>
      </w:pPr>
      <w:r>
        <w:t>Main requirements and features:</w:t>
      </w:r>
    </w:p>
    <w:p w14:paraId="7BFF336E" w14:textId="74FFDFD2" w:rsidR="00D078DB" w:rsidRDefault="00D078DB" w:rsidP="00D078DB">
      <w:pPr>
        <w:pStyle w:val="ListParagraph"/>
        <w:numPr>
          <w:ilvl w:val="0"/>
          <w:numId w:val="3"/>
        </w:numPr>
      </w:pPr>
      <w:r>
        <w:t>Local offline viewer app.</w:t>
      </w:r>
    </w:p>
    <w:p w14:paraId="06E556BA" w14:textId="1FB4C423" w:rsidR="00D078DB" w:rsidRDefault="00D078DB" w:rsidP="00D078DB">
      <w:pPr>
        <w:pStyle w:val="ListParagraph"/>
        <w:numPr>
          <w:ilvl w:val="0"/>
          <w:numId w:val="3"/>
        </w:numPr>
      </w:pPr>
      <w:r>
        <w:lastRenderedPageBreak/>
        <w:t>Pre-processing and QC: timestamp harmonisation, missingness and unit checks.</w:t>
      </w:r>
    </w:p>
    <w:p w14:paraId="3A4FBA8F" w14:textId="2935C052" w:rsidR="00D078DB" w:rsidRDefault="00D078DB" w:rsidP="00D078DB">
      <w:pPr>
        <w:pStyle w:val="ListParagraph"/>
        <w:numPr>
          <w:ilvl w:val="0"/>
          <w:numId w:val="3"/>
        </w:numPr>
      </w:pPr>
      <w:r>
        <w:t xml:space="preserve">Baselines: persistence; </w:t>
      </w:r>
      <w:proofErr w:type="spellStart"/>
      <w:r>
        <w:t>simole</w:t>
      </w:r>
      <w:proofErr w:type="spellEnd"/>
      <w:r>
        <w:t xml:space="preserve"> linear or logistical thresholds</w:t>
      </w:r>
    </w:p>
    <w:p w14:paraId="743679A8" w14:textId="529ECAB6" w:rsidR="00D078DB" w:rsidRDefault="00D078DB" w:rsidP="00D078DB">
      <w:pPr>
        <w:pStyle w:val="ListParagraph"/>
        <w:numPr>
          <w:ilvl w:val="0"/>
          <w:numId w:val="3"/>
        </w:numPr>
      </w:pPr>
      <w:r>
        <w:t>Deep models: per-station LSTM; multi horizon transformer for multi-station training, optional graph model if time permits.</w:t>
      </w:r>
    </w:p>
    <w:p w14:paraId="3BAC3702" w14:textId="22BC7A4A" w:rsidR="00D078DB" w:rsidRDefault="00D078DB" w:rsidP="00D078DB">
      <w:pPr>
        <w:pStyle w:val="ListParagraph"/>
        <w:numPr>
          <w:ilvl w:val="0"/>
          <w:numId w:val="3"/>
        </w:numPr>
      </w:pPr>
      <w:proofErr w:type="spellStart"/>
      <w:proofErr w:type="gramStart"/>
      <w:r>
        <w:t>Evaluation:multi</w:t>
      </w:r>
      <w:proofErr w:type="gramEnd"/>
      <w:r>
        <w:t>-horizon</w:t>
      </w:r>
      <w:proofErr w:type="spellEnd"/>
      <w:r>
        <w:t xml:space="preserve"> metrics, event metrics, calibrations and ablations.</w:t>
      </w:r>
    </w:p>
    <w:p w14:paraId="6DB75C5B" w14:textId="49DF74A4" w:rsidR="00D078DB" w:rsidRPr="00682B86" w:rsidRDefault="00D078DB" w:rsidP="00D078DB">
      <w:pPr>
        <w:pStyle w:val="ListParagraph"/>
        <w:numPr>
          <w:ilvl w:val="0"/>
          <w:numId w:val="3"/>
        </w:numPr>
      </w:pPr>
      <w:r>
        <w:t>Reproducibility: single repo; config files; environment; deterministic seeds; README and a MAKEFILE to run data models then figures.</w:t>
      </w:r>
    </w:p>
    <w:p w14:paraId="70E3A677" w14:textId="3F5F75BA" w:rsidR="00C2733E" w:rsidRDefault="00C2733E" w:rsidP="00C2733E">
      <w:pPr>
        <w:pStyle w:val="Heading2"/>
      </w:pPr>
      <w:r w:rsidRPr="00C2733E">
        <w:t>Success Criteria</w:t>
      </w:r>
    </w:p>
    <w:p w14:paraId="09AC168C" w14:textId="4B7D916C" w:rsidR="00D078DB" w:rsidRDefault="00D078DB" w:rsidP="00D078DB">
      <w:pPr>
        <w:pStyle w:val="ListParagraph"/>
        <w:numPr>
          <w:ilvl w:val="0"/>
          <w:numId w:val="4"/>
        </w:numPr>
      </w:pPr>
      <w:r>
        <w:t xml:space="preserve">Beats persistence on </w:t>
      </w:r>
      <w:r w:rsidRPr="00D078DB">
        <w:t>≥</w:t>
      </w:r>
      <w:r>
        <w:t xml:space="preserve">70% of stations for </w:t>
      </w:r>
      <w:r w:rsidRPr="00D078DB">
        <w:t>≤</w:t>
      </w:r>
      <w:r>
        <w:t xml:space="preserve"> </w:t>
      </w:r>
      <w:proofErr w:type="gramStart"/>
      <w:r>
        <w:t>24 hour</w:t>
      </w:r>
      <w:proofErr w:type="gramEnd"/>
      <w:r>
        <w:t xml:space="preserve"> horizons.</w:t>
      </w:r>
    </w:p>
    <w:p w14:paraId="6EBACFDF" w14:textId="11639883" w:rsidR="00D078DB" w:rsidRDefault="00D078DB" w:rsidP="00D078DB">
      <w:pPr>
        <w:pStyle w:val="ListParagraph"/>
        <w:numPr>
          <w:ilvl w:val="0"/>
          <w:numId w:val="4"/>
        </w:numPr>
      </w:pPr>
      <w:r>
        <w:t xml:space="preserve">Thresholds warnings: improved AUPRC over logistic/GBM baselines; useful </w:t>
      </w:r>
      <w:proofErr w:type="gramStart"/>
      <w:r>
        <w:t>24 hour</w:t>
      </w:r>
      <w:proofErr w:type="gramEnd"/>
      <w:r>
        <w:t xml:space="preserve"> lead time on a meaningful fraction of events.</w:t>
      </w:r>
    </w:p>
    <w:p w14:paraId="5E49B42C" w14:textId="149CAA9A" w:rsidR="00D078DB" w:rsidRDefault="00D078DB" w:rsidP="00D078DB">
      <w:pPr>
        <w:pStyle w:val="ListParagraph"/>
        <w:numPr>
          <w:ilvl w:val="0"/>
          <w:numId w:val="4"/>
        </w:numPr>
      </w:pPr>
      <w:r>
        <w:t>Viewer app is stable, documented and used in supervisor reviews</w:t>
      </w:r>
    </w:p>
    <w:p w14:paraId="5DC09523" w14:textId="326CD7B9" w:rsidR="00D078DB" w:rsidRPr="00D078DB" w:rsidRDefault="00D078DB" w:rsidP="00D078DB">
      <w:pPr>
        <w:pStyle w:val="ListParagraph"/>
        <w:numPr>
          <w:ilvl w:val="0"/>
          <w:numId w:val="4"/>
        </w:numPr>
      </w:pPr>
      <w:r>
        <w:t>Reproducibility: end to end run documented, deterministic seeds and tidy outputs.</w:t>
      </w:r>
    </w:p>
    <w:p w14:paraId="15E41A64" w14:textId="77777777" w:rsidR="00C2733E" w:rsidRDefault="00C2733E" w:rsidP="00C2733E">
      <w:pPr>
        <w:pStyle w:val="Heading2"/>
      </w:pPr>
      <w:r w:rsidRPr="00C2733E">
        <w:t xml:space="preserve">Expected Project Development Plan </w:t>
      </w:r>
    </w:p>
    <w:tbl>
      <w:tblPr>
        <w:tblStyle w:val="TableGrid"/>
        <w:tblW w:w="0" w:type="auto"/>
        <w:tblLook w:val="04A0" w:firstRow="1" w:lastRow="0" w:firstColumn="1" w:lastColumn="0" w:noHBand="0" w:noVBand="1"/>
      </w:tblPr>
      <w:tblGrid>
        <w:gridCol w:w="3005"/>
        <w:gridCol w:w="3005"/>
        <w:gridCol w:w="3006"/>
      </w:tblGrid>
      <w:tr w:rsidR="00CA32AC" w14:paraId="46C14B9E" w14:textId="77777777" w:rsidTr="00CA32AC">
        <w:tc>
          <w:tcPr>
            <w:tcW w:w="3005" w:type="dxa"/>
          </w:tcPr>
          <w:p w14:paraId="0E313EC9" w14:textId="5871BDD3" w:rsidR="00CA32AC" w:rsidRPr="00CA32AC" w:rsidRDefault="00CA32AC" w:rsidP="00CA32AC">
            <w:pPr>
              <w:rPr>
                <w:b/>
                <w:bCs/>
              </w:rPr>
            </w:pPr>
            <w:r w:rsidRPr="00CA32AC">
              <w:rPr>
                <w:b/>
                <w:bCs/>
              </w:rPr>
              <w:t>Weeks</w:t>
            </w:r>
          </w:p>
        </w:tc>
        <w:tc>
          <w:tcPr>
            <w:tcW w:w="3005" w:type="dxa"/>
          </w:tcPr>
          <w:p w14:paraId="12425042" w14:textId="0A11FA29" w:rsidR="00CA32AC" w:rsidRPr="00CA32AC" w:rsidRDefault="00CA32AC" w:rsidP="00CA32AC">
            <w:pPr>
              <w:rPr>
                <w:b/>
                <w:bCs/>
              </w:rPr>
            </w:pPr>
            <w:r w:rsidRPr="00CA32AC">
              <w:rPr>
                <w:b/>
                <w:bCs/>
              </w:rPr>
              <w:t>Focus</w:t>
            </w:r>
          </w:p>
        </w:tc>
        <w:tc>
          <w:tcPr>
            <w:tcW w:w="3006" w:type="dxa"/>
          </w:tcPr>
          <w:p w14:paraId="150DA00A" w14:textId="1E041321" w:rsidR="00CA32AC" w:rsidRPr="00CA32AC" w:rsidRDefault="00CA32AC" w:rsidP="00CA32AC">
            <w:pPr>
              <w:rPr>
                <w:b/>
                <w:bCs/>
              </w:rPr>
            </w:pPr>
            <w:r w:rsidRPr="00CA32AC">
              <w:rPr>
                <w:b/>
                <w:bCs/>
              </w:rPr>
              <w:t>Deliverables/Milestones</w:t>
            </w:r>
          </w:p>
        </w:tc>
      </w:tr>
      <w:tr w:rsidR="00CA32AC" w14:paraId="27455729" w14:textId="77777777" w:rsidTr="00CA32AC">
        <w:tc>
          <w:tcPr>
            <w:tcW w:w="3005" w:type="dxa"/>
          </w:tcPr>
          <w:p w14:paraId="007EB7C8" w14:textId="5556C868" w:rsidR="00CA32AC" w:rsidRDefault="00CA32AC" w:rsidP="00CA32AC">
            <w:r>
              <w:t>Now to the 17</w:t>
            </w:r>
            <w:r w:rsidRPr="00CA32AC">
              <w:rPr>
                <w:vertAlign w:val="superscript"/>
              </w:rPr>
              <w:t>th</w:t>
            </w:r>
            <w:r>
              <w:t xml:space="preserve"> of October</w:t>
            </w:r>
          </w:p>
        </w:tc>
        <w:tc>
          <w:tcPr>
            <w:tcW w:w="3005" w:type="dxa"/>
          </w:tcPr>
          <w:p w14:paraId="185D1CCB" w14:textId="09BBD914" w:rsidR="00CA32AC" w:rsidRDefault="00CA32AC" w:rsidP="00CA32AC">
            <w:r>
              <w:t>Set up a repository.</w:t>
            </w:r>
          </w:p>
        </w:tc>
        <w:tc>
          <w:tcPr>
            <w:tcW w:w="3006" w:type="dxa"/>
          </w:tcPr>
          <w:p w14:paraId="472666DF" w14:textId="24A8DA46" w:rsidR="00CA32AC" w:rsidRDefault="00CA32AC" w:rsidP="00CA32AC">
            <w:r>
              <w:t>Initial plan, maybe a viewer sketch and a QC checklist draft</w:t>
            </w:r>
          </w:p>
        </w:tc>
      </w:tr>
      <w:tr w:rsidR="00CA32AC" w14:paraId="0B49307F" w14:textId="77777777" w:rsidTr="00CA32AC">
        <w:tc>
          <w:tcPr>
            <w:tcW w:w="3005" w:type="dxa"/>
          </w:tcPr>
          <w:p w14:paraId="2A2D8F78" w14:textId="6822B15E" w:rsidR="00CA32AC" w:rsidRDefault="00CA32AC" w:rsidP="00CA32AC">
            <w:r>
              <w:t>Weeks 1-2</w:t>
            </w:r>
          </w:p>
        </w:tc>
        <w:tc>
          <w:tcPr>
            <w:tcW w:w="3005" w:type="dxa"/>
          </w:tcPr>
          <w:p w14:paraId="30E5C4B0" w14:textId="2DF1B585" w:rsidR="00CA32AC" w:rsidRDefault="00CA32AC" w:rsidP="00CA32AC">
            <w:r>
              <w:t>Viewer v1 (export, thresholds, station scorecard); baselines (persistence, ARIMAX/ logistic).</w:t>
            </w:r>
          </w:p>
        </w:tc>
        <w:tc>
          <w:tcPr>
            <w:tcW w:w="3006" w:type="dxa"/>
          </w:tcPr>
          <w:p w14:paraId="79B76276" w14:textId="1F890E55" w:rsidR="00CA32AC" w:rsidRDefault="00CA32AC" w:rsidP="00CA32AC">
            <w:r>
              <w:t>Viewer v1; baseline metrics dashboard</w:t>
            </w:r>
          </w:p>
        </w:tc>
      </w:tr>
      <w:tr w:rsidR="00CA32AC" w14:paraId="34079391" w14:textId="77777777" w:rsidTr="00CA32AC">
        <w:tc>
          <w:tcPr>
            <w:tcW w:w="3005" w:type="dxa"/>
          </w:tcPr>
          <w:p w14:paraId="11D633B5" w14:textId="3F54F26D" w:rsidR="00CA32AC" w:rsidRDefault="00CA32AC" w:rsidP="00CA32AC">
            <w:r>
              <w:t>Weeks 3-4</w:t>
            </w:r>
          </w:p>
        </w:tc>
        <w:tc>
          <w:tcPr>
            <w:tcW w:w="3005" w:type="dxa"/>
          </w:tcPr>
          <w:p w14:paraId="618A69BD" w14:textId="0D6A4057" w:rsidR="00CA32AC" w:rsidRDefault="00CA32AC" w:rsidP="00CA32AC">
            <w:r>
              <w:t>Per-station LSTM/TCN prototype; refine features</w:t>
            </w:r>
          </w:p>
        </w:tc>
        <w:tc>
          <w:tcPr>
            <w:tcW w:w="3006" w:type="dxa"/>
          </w:tcPr>
          <w:p w14:paraId="16076056" w14:textId="13D63FE3" w:rsidR="00CA32AC" w:rsidRDefault="00CA32AC" w:rsidP="00CA32AC">
            <w:r>
              <w:t>LSTM/TCN benchmark vs baselines</w:t>
            </w:r>
          </w:p>
        </w:tc>
      </w:tr>
      <w:tr w:rsidR="00CA32AC" w14:paraId="061427FC" w14:textId="77777777" w:rsidTr="00CA32AC">
        <w:tc>
          <w:tcPr>
            <w:tcW w:w="3005" w:type="dxa"/>
          </w:tcPr>
          <w:p w14:paraId="21B4F0BA" w14:textId="1F67EB8E" w:rsidR="00CA32AC" w:rsidRDefault="00CA32AC" w:rsidP="00CA32AC">
            <w:r>
              <w:t>Weeks 5-6</w:t>
            </w:r>
          </w:p>
        </w:tc>
        <w:tc>
          <w:tcPr>
            <w:tcW w:w="3005" w:type="dxa"/>
          </w:tcPr>
          <w:p w14:paraId="3583DB40" w14:textId="55C627CD" w:rsidR="00CA32AC" w:rsidRDefault="00CA32AC" w:rsidP="00CA32AC">
            <w:r>
              <w:t>Multi-horizon transformer; uncertainty (quantile/conformal); attribution.</w:t>
            </w:r>
          </w:p>
        </w:tc>
        <w:tc>
          <w:tcPr>
            <w:tcW w:w="3006" w:type="dxa"/>
          </w:tcPr>
          <w:p w14:paraId="1E7EEB43" w14:textId="4BBECF50" w:rsidR="00CA32AC" w:rsidRDefault="00CA32AC" w:rsidP="00CA32AC">
            <w:proofErr w:type="spellStart"/>
            <w:r>
              <w:t>Transfoermer</w:t>
            </w:r>
            <w:proofErr w:type="spellEnd"/>
            <w:r>
              <w:t xml:space="preserve"> results; calibrated intervals; stations scorecards</w:t>
            </w:r>
          </w:p>
        </w:tc>
      </w:tr>
      <w:tr w:rsidR="00CA32AC" w14:paraId="2495464F" w14:textId="77777777" w:rsidTr="00CA32AC">
        <w:tc>
          <w:tcPr>
            <w:tcW w:w="3005" w:type="dxa"/>
          </w:tcPr>
          <w:p w14:paraId="4E4E9C54" w14:textId="15C07374" w:rsidR="00CA32AC" w:rsidRDefault="00CA32AC" w:rsidP="00CA32AC">
            <w:r>
              <w:t>Weeks 7-8</w:t>
            </w:r>
          </w:p>
        </w:tc>
        <w:tc>
          <w:tcPr>
            <w:tcW w:w="3005" w:type="dxa"/>
          </w:tcPr>
          <w:p w14:paraId="38D01BAE" w14:textId="7F82BE29" w:rsidR="00CA32AC" w:rsidRDefault="00CA32AC" w:rsidP="00CA32AC">
            <w:r>
              <w:t>Consolidate results ablations: robustness checks; graph of model.</w:t>
            </w:r>
          </w:p>
        </w:tc>
        <w:tc>
          <w:tcPr>
            <w:tcW w:w="3006" w:type="dxa"/>
          </w:tcPr>
          <w:p w14:paraId="22C2C1E5" w14:textId="6B690A9E" w:rsidR="00CA32AC" w:rsidRDefault="00CA32AC" w:rsidP="00CA32AC">
            <w:r>
              <w:t>Prototype report (methods, results, limitations, next steps planning)</w:t>
            </w:r>
          </w:p>
        </w:tc>
      </w:tr>
    </w:tbl>
    <w:p w14:paraId="21A2C3D6" w14:textId="77777777" w:rsidR="00CA32AC" w:rsidRDefault="00CA32AC" w:rsidP="00CA32AC"/>
    <w:p w14:paraId="3F05C662" w14:textId="77B0C801" w:rsidR="00CA32AC" w:rsidRPr="00CA32AC" w:rsidRDefault="00CA32AC" w:rsidP="00CA32AC">
      <w:r>
        <w:t>2</w:t>
      </w:r>
      <w:r w:rsidRPr="00CA32AC">
        <w:rPr>
          <w:vertAlign w:val="superscript"/>
        </w:rPr>
        <w:t>nd</w:t>
      </w:r>
      <w:r>
        <w:t xml:space="preserve"> Semester: Robustness on challenging periods; error analysis; thesis writing appendices ect.</w:t>
      </w:r>
    </w:p>
    <w:p w14:paraId="0C2E5CA4" w14:textId="77777777" w:rsidR="00C2733E" w:rsidRPr="00C2733E" w:rsidRDefault="00C2733E" w:rsidP="00C2733E">
      <w:pPr>
        <w:pStyle w:val="Heading2"/>
      </w:pPr>
      <w:r w:rsidRPr="00C2733E">
        <w:lastRenderedPageBreak/>
        <w:t>References</w:t>
      </w:r>
    </w:p>
    <w:p w14:paraId="416514FD" w14:textId="77777777" w:rsidR="00D078DB" w:rsidRPr="00D078DB" w:rsidRDefault="00D078DB" w:rsidP="00D078DB">
      <w:pPr>
        <w:rPr>
          <w:lang w:val="en-US"/>
        </w:rPr>
      </w:pPr>
      <w:bookmarkStart w:id="0" w:name="_Ref54190017"/>
      <w:r w:rsidRPr="00D078DB">
        <w:rPr>
          <w:lang w:val="en-US"/>
        </w:rPr>
        <w:t xml:space="preserve">[1] H. Apel et al., “Seasonal prediction of salinity intrusion in the Mekong Delta,” NHESS, 2020, </w:t>
      </w:r>
      <w:proofErr w:type="spellStart"/>
      <w:r w:rsidRPr="00D078DB">
        <w:rPr>
          <w:lang w:val="en-US"/>
        </w:rPr>
        <w:t>doi</w:t>
      </w:r>
      <w:proofErr w:type="spellEnd"/>
      <w:r w:rsidRPr="00D078DB">
        <w:rPr>
          <w:lang w:val="en-US"/>
        </w:rPr>
        <w:t>: 10.5194/nhess-20-1609-2020.</w:t>
      </w:r>
    </w:p>
    <w:p w14:paraId="5DE313F6" w14:textId="77777777" w:rsidR="00D078DB" w:rsidRPr="00D078DB" w:rsidRDefault="00D078DB" w:rsidP="00D078DB">
      <w:pPr>
        <w:rPr>
          <w:lang w:val="en-US"/>
        </w:rPr>
      </w:pPr>
      <w:r w:rsidRPr="00D078DB">
        <w:rPr>
          <w:lang w:val="en-US"/>
        </w:rPr>
        <w:t xml:space="preserve">[2] S. Eslami et al., “Dynamics of salt intrusion in the Mekong Delta,” Earth Surf. </w:t>
      </w:r>
      <w:proofErr w:type="spellStart"/>
      <w:r w:rsidRPr="00D078DB">
        <w:rPr>
          <w:lang w:val="en-US"/>
        </w:rPr>
        <w:t>Dynam</w:t>
      </w:r>
      <w:proofErr w:type="spellEnd"/>
      <w:r w:rsidRPr="00D078DB">
        <w:rPr>
          <w:lang w:val="en-US"/>
        </w:rPr>
        <w:t xml:space="preserve">., 2021, </w:t>
      </w:r>
      <w:proofErr w:type="spellStart"/>
      <w:r w:rsidRPr="00D078DB">
        <w:rPr>
          <w:lang w:val="en-US"/>
        </w:rPr>
        <w:t>doi</w:t>
      </w:r>
      <w:proofErr w:type="spellEnd"/>
      <w:r w:rsidRPr="00D078DB">
        <w:rPr>
          <w:lang w:val="en-US"/>
        </w:rPr>
        <w:t>: 10.5194/esurf-9-953-2021.</w:t>
      </w:r>
    </w:p>
    <w:p w14:paraId="6B81AD57" w14:textId="77777777" w:rsidR="00D078DB" w:rsidRPr="00D078DB" w:rsidRDefault="00D078DB" w:rsidP="00D078DB">
      <w:pPr>
        <w:rPr>
          <w:lang w:val="en-US"/>
        </w:rPr>
      </w:pPr>
      <w:r w:rsidRPr="00D078DB">
        <w:rPr>
          <w:lang w:val="en-US"/>
        </w:rPr>
        <w:t xml:space="preserve">[3] P. Nguyen Duc et al., “Predicting salinity levels in the Mekong Delta (Viet Nam): ML and DL models,” Discover AI, 2025, </w:t>
      </w:r>
      <w:proofErr w:type="spellStart"/>
      <w:r w:rsidRPr="00D078DB">
        <w:rPr>
          <w:lang w:val="en-US"/>
        </w:rPr>
        <w:t>doi</w:t>
      </w:r>
      <w:proofErr w:type="spellEnd"/>
      <w:r w:rsidRPr="00D078DB">
        <w:rPr>
          <w:lang w:val="en-US"/>
        </w:rPr>
        <w:t>: 10.1007/s44163-025-00336-3.</w:t>
      </w:r>
    </w:p>
    <w:p w14:paraId="68E3CECD" w14:textId="77777777" w:rsidR="00D078DB" w:rsidRPr="00D078DB" w:rsidRDefault="00D078DB" w:rsidP="00D078DB">
      <w:pPr>
        <w:rPr>
          <w:lang w:val="en-US"/>
        </w:rPr>
      </w:pPr>
      <w:r w:rsidRPr="00D078DB">
        <w:rPr>
          <w:lang w:val="en-US"/>
        </w:rPr>
        <w:t xml:space="preserve">[4] B. Lim et al., “Temporal Fusion Transformers for interpretable multi-horizon time series forecasting,” Int. J. Forecast., 2021, </w:t>
      </w:r>
      <w:proofErr w:type="spellStart"/>
      <w:r w:rsidRPr="00D078DB">
        <w:rPr>
          <w:lang w:val="en-US"/>
        </w:rPr>
        <w:t>doi</w:t>
      </w:r>
      <w:proofErr w:type="spellEnd"/>
      <w:r w:rsidRPr="00D078DB">
        <w:rPr>
          <w:lang w:val="en-US"/>
        </w:rPr>
        <w:t>: 10.1016/j.ijforecast.2021.03.012.</w:t>
      </w:r>
    </w:p>
    <w:p w14:paraId="06817368" w14:textId="77777777" w:rsidR="00D078DB" w:rsidRPr="00D078DB" w:rsidRDefault="00D078DB" w:rsidP="00D078DB">
      <w:pPr>
        <w:rPr>
          <w:lang w:val="en-US"/>
        </w:rPr>
      </w:pPr>
      <w:r w:rsidRPr="00D078DB">
        <w:rPr>
          <w:lang w:val="en-US"/>
        </w:rPr>
        <w:t>[5] Y. Li et al., “Diffusion Convolutional Recurrent Neural Network,” ICLR (</w:t>
      </w:r>
      <w:proofErr w:type="spellStart"/>
      <w:r w:rsidRPr="00D078DB">
        <w:rPr>
          <w:lang w:val="en-US"/>
        </w:rPr>
        <w:t>OpenReview</w:t>
      </w:r>
      <w:proofErr w:type="spellEnd"/>
      <w:r w:rsidRPr="00D078DB">
        <w:rPr>
          <w:lang w:val="en-US"/>
        </w:rPr>
        <w:t>), 2018, arXiv:1707.01926.</w:t>
      </w:r>
    </w:p>
    <w:p w14:paraId="6F6E2AC0" w14:textId="77777777" w:rsidR="00C2733E" w:rsidRPr="00C2733E" w:rsidRDefault="00C2733E" w:rsidP="00C2733E">
      <w:r w:rsidRPr="00C2733E">
        <w:t>D. Greer, “How to get Research Articles.pdf”, CSC3002 Canvas Modules, https://canvas.qub.ac.uk/courses/10366/modules/items/378467</w:t>
      </w:r>
      <w:bookmarkEnd w:id="0"/>
      <w:r w:rsidRPr="00C2733E">
        <w:t xml:space="preserve"> </w:t>
      </w:r>
    </w:p>
    <w:p w14:paraId="706AF106" w14:textId="77777777" w:rsidR="00C2733E" w:rsidRPr="00C2733E" w:rsidRDefault="00C2733E" w:rsidP="00C2733E"/>
    <w:p w14:paraId="0FF27E70" w14:textId="77777777" w:rsidR="008505CC" w:rsidRDefault="008505CC"/>
    <w:sectPr w:rsidR="00850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C63145"/>
    <w:multiLevelType w:val="hybridMultilevel"/>
    <w:tmpl w:val="BDF4EE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2AC46935"/>
    <w:multiLevelType w:val="hybridMultilevel"/>
    <w:tmpl w:val="C282A4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24C7AE4"/>
    <w:multiLevelType w:val="hybridMultilevel"/>
    <w:tmpl w:val="89CCE4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19C3500"/>
    <w:multiLevelType w:val="hybridMultilevel"/>
    <w:tmpl w:val="EAA200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3933256">
    <w:abstractNumId w:val="3"/>
  </w:num>
  <w:num w:numId="2" w16cid:durableId="1829520056">
    <w:abstractNumId w:val="2"/>
  </w:num>
  <w:num w:numId="3" w16cid:durableId="1990864579">
    <w:abstractNumId w:val="0"/>
  </w:num>
  <w:num w:numId="4" w16cid:durableId="1157384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EA9"/>
    <w:rsid w:val="001C3EA9"/>
    <w:rsid w:val="0031051C"/>
    <w:rsid w:val="0038117E"/>
    <w:rsid w:val="00682B86"/>
    <w:rsid w:val="008505CC"/>
    <w:rsid w:val="00893C62"/>
    <w:rsid w:val="00A86A85"/>
    <w:rsid w:val="00C2733E"/>
    <w:rsid w:val="00CA32AC"/>
    <w:rsid w:val="00D078DB"/>
    <w:rsid w:val="00D20B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AC23C"/>
  <w15:chartTrackingRefBased/>
  <w15:docId w15:val="{9659650E-F9F4-4F2C-A309-CD335F153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E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E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E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E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E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E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E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E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E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E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E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E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E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E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E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EA9"/>
    <w:rPr>
      <w:rFonts w:eastAsiaTheme="majorEastAsia" w:cstheme="majorBidi"/>
      <w:color w:val="272727" w:themeColor="text1" w:themeTint="D8"/>
    </w:rPr>
  </w:style>
  <w:style w:type="paragraph" w:styleId="Title">
    <w:name w:val="Title"/>
    <w:basedOn w:val="Normal"/>
    <w:next w:val="Normal"/>
    <w:link w:val="TitleChar"/>
    <w:uiPriority w:val="10"/>
    <w:qFormat/>
    <w:rsid w:val="001C3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E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E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E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EA9"/>
    <w:pPr>
      <w:spacing w:before="160"/>
      <w:jc w:val="center"/>
    </w:pPr>
    <w:rPr>
      <w:i/>
      <w:iCs/>
      <w:color w:val="404040" w:themeColor="text1" w:themeTint="BF"/>
    </w:rPr>
  </w:style>
  <w:style w:type="character" w:customStyle="1" w:styleId="QuoteChar">
    <w:name w:val="Quote Char"/>
    <w:basedOn w:val="DefaultParagraphFont"/>
    <w:link w:val="Quote"/>
    <w:uiPriority w:val="29"/>
    <w:rsid w:val="001C3EA9"/>
    <w:rPr>
      <w:i/>
      <w:iCs/>
      <w:color w:val="404040" w:themeColor="text1" w:themeTint="BF"/>
    </w:rPr>
  </w:style>
  <w:style w:type="paragraph" w:styleId="ListParagraph">
    <w:name w:val="List Paragraph"/>
    <w:basedOn w:val="Normal"/>
    <w:uiPriority w:val="34"/>
    <w:qFormat/>
    <w:rsid w:val="001C3EA9"/>
    <w:pPr>
      <w:ind w:left="720"/>
      <w:contextualSpacing/>
    </w:pPr>
  </w:style>
  <w:style w:type="character" w:styleId="IntenseEmphasis">
    <w:name w:val="Intense Emphasis"/>
    <w:basedOn w:val="DefaultParagraphFont"/>
    <w:uiPriority w:val="21"/>
    <w:qFormat/>
    <w:rsid w:val="001C3EA9"/>
    <w:rPr>
      <w:i/>
      <w:iCs/>
      <w:color w:val="0F4761" w:themeColor="accent1" w:themeShade="BF"/>
    </w:rPr>
  </w:style>
  <w:style w:type="paragraph" w:styleId="IntenseQuote">
    <w:name w:val="Intense Quote"/>
    <w:basedOn w:val="Normal"/>
    <w:next w:val="Normal"/>
    <w:link w:val="IntenseQuoteChar"/>
    <w:uiPriority w:val="30"/>
    <w:qFormat/>
    <w:rsid w:val="001C3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EA9"/>
    <w:rPr>
      <w:i/>
      <w:iCs/>
      <w:color w:val="0F4761" w:themeColor="accent1" w:themeShade="BF"/>
    </w:rPr>
  </w:style>
  <w:style w:type="character" w:styleId="IntenseReference">
    <w:name w:val="Intense Reference"/>
    <w:basedOn w:val="DefaultParagraphFont"/>
    <w:uiPriority w:val="32"/>
    <w:qFormat/>
    <w:rsid w:val="001C3EA9"/>
    <w:rPr>
      <w:b/>
      <w:bCs/>
      <w:smallCaps/>
      <w:color w:val="0F4761" w:themeColor="accent1" w:themeShade="BF"/>
      <w:spacing w:val="5"/>
    </w:rPr>
  </w:style>
  <w:style w:type="character" w:styleId="Hyperlink">
    <w:name w:val="Hyperlink"/>
    <w:basedOn w:val="DefaultParagraphFont"/>
    <w:uiPriority w:val="99"/>
    <w:unhideWhenUsed/>
    <w:rsid w:val="00C2733E"/>
    <w:rPr>
      <w:color w:val="467886" w:themeColor="hyperlink"/>
      <w:u w:val="single"/>
    </w:rPr>
  </w:style>
  <w:style w:type="character" w:styleId="UnresolvedMention">
    <w:name w:val="Unresolved Mention"/>
    <w:basedOn w:val="DefaultParagraphFont"/>
    <w:uiPriority w:val="99"/>
    <w:semiHidden/>
    <w:unhideWhenUsed/>
    <w:rsid w:val="00C2733E"/>
    <w:rPr>
      <w:color w:val="605E5C"/>
      <w:shd w:val="clear" w:color="auto" w:fill="E1DFDD"/>
    </w:rPr>
  </w:style>
  <w:style w:type="table" w:styleId="TableGrid">
    <w:name w:val="Table Grid"/>
    <w:basedOn w:val="TableNormal"/>
    <w:uiPriority w:val="39"/>
    <w:rsid w:val="00CA32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592</Words>
  <Characters>3378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Mackle</dc:creator>
  <cp:keywords/>
  <dc:description/>
  <cp:lastModifiedBy>Christopher Mackle</cp:lastModifiedBy>
  <cp:revision>2</cp:revision>
  <dcterms:created xsi:type="dcterms:W3CDTF">2025-10-13T20:48:00Z</dcterms:created>
  <dcterms:modified xsi:type="dcterms:W3CDTF">2025-10-13T20:48:00Z</dcterms:modified>
</cp:coreProperties>
</file>