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Neutral: 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Primary: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https://ballotpedia.org/Gill_v._Whitford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favor of plaintiffs: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Primary: 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https://www.vox.com/2018/6/18/17474912/supreme-court-gerrymandering-gill-whitford-wisconsin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Secondary: </w:t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https://www.washingtonpost.com/news/monkey-cage/wp/2018/06/19/the-supreme-court-decided-not-to-decide-wisconsins-gerrymandering-case-but-heres-why-it-will-be-back/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Favor of the defendants: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Primary: </w:t>
      </w: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http://law2.umkc.edu/faculty/projects/ftrials/conlaw/GillvWhitford.html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aw2.umkc.edu/faculty/projects/ftrials/conlaw/GillvWhitfor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ballotpedia.org/Gill_v._Whitford" TargetMode="External"/><Relationship Id="rId7" Type="http://schemas.openxmlformats.org/officeDocument/2006/relationships/hyperlink" Target="https://www.vox.com/2018/6/18/17474912/supreme-court-gerrymandering-gill-whitford-wisconsin" TargetMode="External"/><Relationship Id="rId8" Type="http://schemas.openxmlformats.org/officeDocument/2006/relationships/hyperlink" Target="https://www.washingtonpost.com/news/monkey-cage/wp/2018/06/19/the-supreme-court-decided-not-to-decide-wisconsins-gerrymandering-case-but-heres-why-it-will-be-b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