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0C793" w14:textId="3A77AE52" w:rsidR="008A6F67" w:rsidRDefault="008547E7">
      <w:r>
        <w:tab/>
        <w:t>Overall, Wisconsin was a good choice of a state for this project. It has 72 counties and 8 congressional districts, which is enough to satisfy project requirements but not overly complicated. Data collection was straightforward and quick as well. The two major problems we came across were accounting for contiguity with Door County which is a peninsula and handling Milwaukee county which had a much larger population than the average district size. I would recommend Wisconsin for a project choice due to the fewer complex problems that come with it and the availability of data for our models.</w:t>
      </w:r>
      <w:bookmarkStart w:id="0" w:name="_GoBack"/>
      <w:bookmarkEnd w:id="0"/>
    </w:p>
    <w:sectPr w:rsidR="008A6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073"/>
    <w:rsid w:val="00100073"/>
    <w:rsid w:val="008547E7"/>
    <w:rsid w:val="008A6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8FC59"/>
  <w15:chartTrackingRefBased/>
  <w15:docId w15:val="{340C6E9B-72ED-4841-818D-2733675F4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Hapner</dc:creator>
  <cp:keywords/>
  <dc:description/>
  <cp:lastModifiedBy>Matthew Hapner</cp:lastModifiedBy>
  <cp:revision>2</cp:revision>
  <dcterms:created xsi:type="dcterms:W3CDTF">2019-12-10T19:41:00Z</dcterms:created>
  <dcterms:modified xsi:type="dcterms:W3CDTF">2019-12-10T19:44:00Z</dcterms:modified>
</cp:coreProperties>
</file>