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314359</wp:posOffset>
            </wp:positionV>
            <wp:extent cx="5943600" cy="4457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McLernon</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CS-370 : Current / Emerging Trends in CS</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Timothy Alexander, M.S., CIS</w:t>
      </w:r>
    </w:p>
    <w:p w:rsidR="00000000" w:rsidDel="00000000" w:rsidP="00000000" w:rsidRDefault="00000000" w:rsidRPr="00000000" w14:paraId="00000007">
      <w:pPr>
        <w:pStyle w:val="Heading1"/>
        <w:spacing w:line="480" w:lineRule="auto"/>
        <w:jc w:val="center"/>
        <w:rPr>
          <w:sz w:val="24"/>
          <w:szCs w:val="24"/>
        </w:rPr>
      </w:pPr>
      <w:bookmarkStart w:colFirst="0" w:colLast="0" w:name="_r4jtevregmn1" w:id="0"/>
      <w:bookmarkEnd w:id="0"/>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lead engineer at a leading social networking company, the responsibility to address the concerns raised by EU regulators regarding our compliance with the General Data Protection Regulation (GDPR) is of paramount importance. Our company's success has been largely driven by the innovative use of advanced neural networks for personalization. This cutting-edge technology has enabled us to significantly enhance the user experience by tailoring content, recommendations, and advertisements to individual preferences and behaviors. This personalization strategy has not only improved user engagement but has also been instrumental in driving revenue growth through targeted advertising, setting us apart in a competitive digital landscape.</w:t>
      </w:r>
    </w:p>
    <w:p w:rsidR="00000000" w:rsidDel="00000000" w:rsidP="00000000" w:rsidRDefault="00000000" w:rsidRPr="00000000" w14:paraId="0000000D">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personalization algorithms are powered by sophisticated neural networks, comprising interconnected nodes organized into input, hidden, and output layers. These layers collaboratively process data, learning from user interactions and making predictions or classifications. The input layer captures raw data, such as user clicks and navigation patterns on our platform. This data is then processed through hidden layers, which extract patterns using weighted connections. The output layer culminates this process by providing personalized content recommendations. The extensive analysis of user data by our neural networks, essential for personalizing content, friend suggestions, and advertisements, raises ethical concerns. The inherent "black box" nature of these systems often obscures the decision-making process, both to users and developers, potentially leading to biased outcomes influenced by the training data. The GDPR principles particularly relevant to our operations include transparency, purpose limitation, data minimization, accuracy, storage limitation, confidentiality, and accountability. "A key principle of the UK GDPR is that you process personal data securely by means of ‘appropriate technical and organizational measures’ – this is the ‘security principle’." [ICO 2023] These principles significantly impact how we collect, process, and store user data for personalization purposes.</w:t>
      </w:r>
    </w:p>
    <w:p w:rsidR="00000000" w:rsidDel="00000000" w:rsidP="00000000" w:rsidRDefault="00000000" w:rsidRPr="00000000" w14:paraId="0000000E">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alignment with regulatory standards under GDPR involves embedding its core principles into our data handling methods.  "You can consider the state of the art and costs of implementation when deciding what measures to take – but they must be appropriate both to your circumstances and the risk your processing poses." [ICO 2023] This integration includes a commitment to transparently inform users about the use of their data for personalization. Our data collection process aligns closely with the sole purpose of enhancing user experience, thus adhering to the principle of purpose limitation. We are meticulous in collecting only the necessary data, maintaining its accuracy, and promptly addressing any inaccuracies. In line with the storage limitation principle, the retention of user data is confined to durations necessary for specified personalization purposes. Additionally, the confidentiality and security of user data are of utmost priority, and we have implemented stringent measures to safeguard it. Our company acknowledges the accountability that comes with these GDPR principles and the legal implications of non-compliance. The application of neural networks for personalization poses potential conflicts with GDPR, especially regarding data minimization and transparency. To mitigate these challenges, we are adopting contemporary AI and machine learning trends that prioritize user privacy. This includes the implementation of differential privacy algorithms, which aggregate user data while preserving individual privacy, and federated learning, where data is processed locally on user devices, minimizing central data storage. Another focus area is the development of explainable AI systems, enhancing decision-making transparency.</w:t>
      </w:r>
    </w:p>
    <w:p w:rsidR="00000000" w:rsidDel="00000000" w:rsidP="00000000" w:rsidRDefault="00000000" w:rsidRPr="00000000" w14:paraId="0000000F">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the GDPR requirements, we are undertaking several significant changes. Enhancing the transparency of our user interfaces and privacy policies is a primary focus, aiming for clear communication about data usage. We are implementing stricter controls to align data collection with personalization objectives. Regular updates and removal of unnecessary user data are being planned for accuracy and storage limitation compliance. Additionally, we are fortifying our data security measures to ensure user data confidentiality. To maintain continual adherence to GDPR, we plan to establish internal audits and compliance teams. Adopting these new AI trends and revising our data handling practices represent our commitment to striking a balance between the demands of personalization and GDPR compliance. This approach is essential to maintaining user trust and ensuring the continued success of our platform in a dynamic digital landscape. Through these measures, we aim to not only comply with regulatory standards but also to set a benchmark in responsible data handling in the realm of social networking.</w:t>
      </w:r>
    </w:p>
    <w:p w:rsidR="00000000" w:rsidDel="00000000" w:rsidP="00000000" w:rsidRDefault="00000000" w:rsidRPr="00000000" w14:paraId="00000010">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bottom w:color="auto" w:space="0" w:sz="0" w:val="none"/>
        </w:pBdr>
        <w:spacing w:after="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1A">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Commissioner's Office. (n.d.). A guide to data security. ICO. Retrieved November 11, 2023, from </w:t>
      </w:r>
      <w:hyperlink r:id="rId7">
        <w:r w:rsidDel="00000000" w:rsidR="00000000" w:rsidRPr="00000000">
          <w:rPr>
            <w:rFonts w:ascii="Times New Roman" w:cs="Times New Roman" w:eastAsia="Times New Roman" w:hAnsi="Times New Roman"/>
            <w:color w:val="1155cc"/>
            <w:sz w:val="24"/>
            <w:szCs w:val="24"/>
            <w:u w:val="single"/>
            <w:rtl w:val="0"/>
          </w:rPr>
          <w:t xml:space="preserve">A guide to data security | ICO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Oswald Medium">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CS-340 : Client / Server Development</w:t>
    </w:r>
    <w:r w:rsidDel="00000000" w:rsidR="00000000" w:rsidRPr="00000000">
      <w:rPr>
        <w:rFonts w:ascii="Times New Roman" w:cs="Times New Roman" w:eastAsia="Times New Roman" w:hAnsi="Times New Roman"/>
        <w:sz w:val="24"/>
        <w:szCs w:val="24"/>
        <w:highlight w:val="white"/>
        <w:rtl w:val="0"/>
      </w:rPr>
      <w:tab/>
      <w:tab/>
      <w:tab/>
      <w:tab/>
      <w:tab/>
      <w:tab/>
      <w:t xml:space="preserve">                      </w:t>
    </w:r>
    <w:r w:rsidDel="00000000" w:rsidR="00000000" w:rsidRPr="00000000">
      <w:rPr>
        <w:rFonts w:ascii="Times New Roman" w:cs="Times New Roman" w:eastAsia="Times New Roman" w:hAnsi="Times New Roman"/>
        <w:sz w:val="24"/>
        <w:szCs w:val="24"/>
        <w:highlight w:val="whit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swald" w:cs="Oswald" w:eastAsia="Oswald" w:hAnsi="Oswal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sz w:val="30"/>
      <w:szCs w:val="30"/>
    </w:rPr>
  </w:style>
  <w:style w:type="paragraph" w:styleId="Heading2">
    <w:name w:val="heading 2"/>
    <w:basedOn w:val="Normal"/>
    <w:next w:val="Normal"/>
    <w:pPr>
      <w:keepNext w:val="1"/>
      <w:keepLines w:val="1"/>
      <w:spacing w:after="120" w:before="360" w:lineRule="auto"/>
      <w:ind w:left="720" w:hanging="360"/>
    </w:pPr>
    <w:rPr>
      <w:sz w:val="26"/>
      <w:szCs w:val="26"/>
    </w:rPr>
  </w:style>
  <w:style w:type="paragraph" w:styleId="Heading3">
    <w:name w:val="heading 3"/>
    <w:basedOn w:val="Normal"/>
    <w:next w:val="Normal"/>
    <w:pPr>
      <w:keepNext w:val="1"/>
      <w:keepLines w:val="1"/>
    </w:pPr>
    <w:rPr>
      <w:sz w:val="10"/>
      <w:szCs w:val="1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Oswald Medium" w:cs="Oswald Medium" w:eastAsia="Oswald Medium" w:hAnsi="Oswald Medium"/>
      <w:sz w:val="52"/>
      <w:szCs w:val="52"/>
    </w:rPr>
  </w:style>
  <w:style w:type="paragraph" w:styleId="Subtitle">
    <w:name w:val="Subtitle"/>
    <w:basedOn w:val="Normal"/>
    <w:next w:val="Normal"/>
    <w:pPr>
      <w:keepNext w:val="1"/>
      <w:keepLines w:val="1"/>
      <w:spacing w:after="320" w:lineRule="auto"/>
      <w:jc w:val="center"/>
    </w:pPr>
    <w:rPr>
      <w:rFonts w:ascii="Oswald Medium" w:cs="Oswald Medium" w:eastAsia="Oswald Medium" w:hAnsi="Oswald Medium"/>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co.org.uk/for-organisations/uk-gdpr-guidance-and-resources/security/a-guide-to-data-security/"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