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b/>
          <w:bCs/>
          <w:color w:val="1B4332"/>
          <w:sz w:val="52"/>
          <w:szCs w:val="52"/>
        </w:rPr>
        <w:t xml:space="preserve">CommonGround</w:t>
      </w:r>
    </w:p>
    <w:p>
      <w:pPr>
        <w:spacing w:after="60" w:before="0"/>
      </w:pPr>
      <w:r>
        <w:rPr>
          <w:rFonts w:ascii="Arial" w:cs="Arial" w:eastAsia="Arial" w:hAnsi="Arial"/>
          <w:b/>
          <w:bCs/>
          <w:color w:val="2D6A4F"/>
          <w:sz w:val="34"/>
          <w:szCs w:val="34"/>
        </w:rPr>
        <w:t xml:space="preserve">Research Reading List &amp; Evidence Base</w:t>
      </w:r>
    </w:p>
    <w:p>
      <w:pPr>
        <w:spacing w:after="200" w:before="0"/>
      </w:pPr>
      <w:r>
        <w:rPr>
          <w:rFonts w:ascii="Georgia" w:cs="Georgia" w:eastAsia="Georgia" w:hAnsi="Georgia"/>
          <w:i/>
          <w:iCs/>
          <w:color w:val="374151"/>
          <w:sz w:val="20"/>
          <w:szCs w:val="20"/>
        </w:rPr>
        <w:t xml:space="preserve">v0.1  ·  March 2026  ·  Aligned with Guiding Principles v0.2</w:t>
      </w:r>
    </w:p>
    <w:p>
      <w:pPr>
        <w:spacing w:after="60" w:before="60"/>
      </w:pPr>
      <w:r>
        <w:rPr>
          <w:rFonts w:ascii="Georgia" w:cs="Georgia" w:eastAsia="Georgia" w:hAnsi="Georgia"/>
          <w:sz w:val="20"/>
          <w:szCs w:val="20"/>
        </w:rPr>
        <w:t xml:space="preserve">This reading list compiles the foundational and recent academic literature, government documentation, and civil liberties analysis that grounds each of CommonGround's planned cross-layer insights and alert types. Entries are organized by topic domain and annotated with their relevance to specific alerts, data sources, and epistemic claim types. Where the research complicates or qualifies a CommonGround correlation, that is noted explicitly.</w:t>
      </w:r>
    </w:p>
    <w:p>
      <w:pPr>
        <w:spacing w:after="100" w:before="100"/>
      </w:pPr>
      <w:r>
        <w:t xml:space="preserve"/>
      </w:r>
    </w:p>
    <w:p>
      <w:pPr>
        <w:spacing w:after="60" w:before="60"/>
      </w:pPr>
      <w:r>
        <w:rPr>
          <w:rFonts w:ascii="Georgia" w:cs="Georgia" w:eastAsia="Georgia" w:hAnsi="Georgia"/>
          <w:sz w:val="20"/>
          <w:szCs w:val="20"/>
        </w:rPr>
        <w:t xml:space="preserve">Claim type labels match CommonGround's epistemic framework: DOCUMENTED = primary source evidence of a specific actor or event; MECHANISM = correlation with a plausible causal pathway supported by research; CORRELATION = co-occurrence with no established causal mechanism. FOUNDATIONAL and CRITICAL labels denote key methodological or complicating sources.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1"/>
              <w:left w:val="single" w:color="DDDDDD" w:sz="1"/>
              <w:bottom w:val="single" w:color="DDDDDD" w:sz="1"/>
              <w:right w:val="single" w:color="DDDDDD" w:sz="1"/>
            </w:tcBorders>
            <w:shd w:fill="D8F3DC" w:val="clear"/>
            <w:tcMar>
              <w:top w:type="dxa" w:w="80"/>
              <w:left w:type="dxa" w:w="120"/>
              <w:bottom w:type="dxa" w:w="80"/>
              <w:right w:type="dxa" w:w="80"/>
            </w:tcMar>
          </w:tcPr>
          <w:p>
            <w:r>
              <w:rPr>
                <w:rFonts w:ascii="Arial" w:cs="Arial" w:eastAsia="Arial" w:hAnsi="Arial"/>
                <w:b/>
                <w:bCs/>
                <w:color w:val="2D6A4F"/>
                <w:sz w:val="18"/>
                <w:szCs w:val="18"/>
              </w:rPr>
              <w:t xml:space="preserve">DOCUMENTED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Georgia" w:cs="Georgia" w:eastAsia="Georgia" w:hAnsi="Georgia"/>
                <w:sz w:val="18"/>
                <w:szCs w:val="18"/>
              </w:rPr>
              <w:t xml:space="preserve">Primary source evidence of a specific actor or event in a specific place and time</w:t>
            </w:r>
          </w:p>
        </w:tc>
      </w:tr>
      <w:tr>
        <w:tc>
          <w:tcPr>
            <w:tcW w:type="dxa" w:w="1600"/>
            <w:tcBorders>
              <w:top w:val="single" w:color="DDDDDD" w:sz="1"/>
              <w:left w:val="single" w:color="DDDDDD" w:sz="1"/>
              <w:bottom w:val="single" w:color="DDDDDD" w:sz="1"/>
              <w:right w:val="single" w:color="DDDDDD" w:sz="1"/>
            </w:tcBorders>
            <w:shd w:fill="DBEAFE" w:val="clear"/>
            <w:tcMar>
              <w:top w:type="dxa" w:w="80"/>
              <w:left w:type="dxa" w:w="120"/>
              <w:bottom w:type="dxa" w:w="80"/>
              <w:right w:type="dxa" w:w="80"/>
            </w:tcMar>
          </w:tcPr>
          <w:p>
            <w:r>
              <w:rPr>
                <w:rFonts w:ascii="Arial" w:cs="Arial" w:eastAsia="Arial" w:hAnsi="Arial"/>
                <w:b/>
                <w:bCs/>
                <w:color w:val="1E3A5F"/>
                <w:sz w:val="18"/>
                <w:szCs w:val="18"/>
              </w:rPr>
              <w:t xml:space="preserve">MECHANISM</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Georgia" w:cs="Georgia" w:eastAsia="Georgia" w:hAnsi="Georgia"/>
                <w:sz w:val="18"/>
                <w:szCs w:val="18"/>
              </w:rPr>
              <w:t xml:space="preserve">Correlation with a plausible causal pathway supported by external research</w:t>
            </w:r>
          </w:p>
        </w:tc>
      </w:tr>
      <w:tr>
        <w:tc>
          <w:tcPr>
            <w:tcW w:type="dxa" w:w="16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80"/>
            </w:tcMar>
          </w:tcPr>
          <w:p>
            <w:r>
              <w:rPr>
                <w:rFonts w:ascii="Arial" w:cs="Arial" w:eastAsia="Arial" w:hAnsi="Arial"/>
                <w:b/>
                <w:bCs/>
                <w:color w:val="B7791F"/>
                <w:sz w:val="18"/>
                <w:szCs w:val="18"/>
              </w:rPr>
              <w:t xml:space="preserve">CORRELATION</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Georgia" w:cs="Georgia" w:eastAsia="Georgia" w:hAnsi="Georgia"/>
                <w:sz w:val="18"/>
                <w:szCs w:val="18"/>
              </w:rPr>
              <w:t xml:space="preserve">Two things tend to co-occur; causal mechanism not established by the data</w:t>
            </w:r>
          </w:p>
        </w:tc>
      </w:tr>
    </w:tbl>
    <w:p>
      <w:pPr>
        <w:spacing w:after="100" w:before="100"/>
      </w:pPr>
      <w:r>
        <w:t xml:space="preserve"/>
      </w:r>
    </w:p>
    <w:p>
      <w:pPr>
        <w:pStyle w:val="Heading1"/>
        <w:spacing w:after="120" w:before="400"/>
      </w:pPr>
      <w:r>
        <w:rPr>
          <w:rFonts w:ascii="Arial" w:cs="Arial" w:eastAsia="Arial" w:hAnsi="Arial"/>
          <w:b/>
          <w:bCs/>
          <w:color w:val="1B4332"/>
          <w:sz w:val="32"/>
          <w:szCs w:val="32"/>
        </w:rPr>
        <w:t xml:space="preserve">I. Housing, Displacement &amp; Eviction</w:t>
      </w:r>
    </w:p>
    <w:p>
      <w:pPr>
        <w:spacing w:after="60" w:before="60"/>
      </w:pPr>
      <w:r>
        <w:rPr>
          <w:rFonts w:ascii="Georgia" w:cs="Georgia" w:eastAsia="Georgia" w:hAnsi="Georgia"/>
          <w:i/>
          <w:iCs/>
          <w:color w:val="374151"/>
          <w:sz w:val="20"/>
          <w:szCs w:val="20"/>
        </w:rPr>
        <w:t xml:space="preserve">Research grounding CommonGround's displacement signals (T2-H01, T1-H01) and LLC/serial-filer detection mechanism.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8F3DC" w:val="clear"/>
            <w:tcMar>
              <w:top w:type="dxa" w:w="100"/>
              <w:left w:type="dxa" w:w="150"/>
              <w:bottom w:type="dxa" w:w="60"/>
              <w:right w:type="dxa" w:w="150"/>
            </w:tcMar>
          </w:tcPr>
          <w:p>
            <w:pPr>
              <w:spacing w:after="40" w:before="0"/>
            </w:pPr>
            <w:hyperlink w:history="1" r:id="rIdxz-sl-aqzejau6hvd7rjc">
              <w:r>
                <w:rPr>
                  <w:rFonts w:ascii="Arial" w:cs="Arial" w:eastAsia="Arial" w:hAnsi="Arial"/>
                  <w:b/>
                  <w:bCs/>
                  <w:color w:val="1E3A5F"/>
                  <w:sz w:val="21"/>
                  <w:szCs w:val="21"/>
                  <w:u w:val="single"/>
                </w:rPr>
                <w:t xml:space="preserve">Beyond Gentrification: Housing Loss, Poverty, and the Geography of Displacement</w:t>
              </w:r>
            </w:hyperlink>
          </w:p>
          <w:p>
            <w:pPr>
              <w:spacing w:after="0" w:before="0"/>
            </w:pPr>
            <w:r>
              <w:rPr>
                <w:rFonts w:ascii="Georgia" w:cs="Georgia" w:eastAsia="Georgia" w:hAnsi="Georgia"/>
                <w:i/>
                <w:iCs/>
                <w:color w:val="374151"/>
                <w:sz w:val="18"/>
                <w:szCs w:val="18"/>
              </w:rPr>
              <w:t xml:space="preserve">Hepburn, P., Louis, R., &amp; Desmond, M. · 2024 · Social Forces 102(3)</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2D6A4F"/>
                <w:sz w:val="17"/>
                <w:szCs w:val="17"/>
              </w:rPr>
              <w:t xml:space="preserve">DOCUMENTED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T2-H01 displacement pressure signal; eviction + renovation permit correlation</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Most evictions occur in low-income neighborhoods that never gentrify — displacement is a durable feature of neighborhood poverty, not a by-product of gentrification.</w:t>
            </w:r>
          </w:p>
          <w:p>
            <w:pPr>
              <w:pStyle w:val="ListParagraph"/>
              <w:numPr>
                <w:ilvl w:val="0"/>
                <w:numId w:val="2"/>
              </w:numPr>
              <w:spacing w:after="20" w:before="20"/>
            </w:pPr>
            <w:r>
              <w:rPr>
                <w:rFonts w:ascii="Georgia" w:cs="Georgia" w:eastAsia="Georgia" w:hAnsi="Georgia"/>
                <w:sz w:val="18"/>
                <w:szCs w:val="18"/>
              </w:rPr>
              <w:t xml:space="preserve">Eviction rates in majority-Black neighborhoods were 1-in-16 renter households per year, vs. 1-in-38 in gentrifying neighborhoods.</w:t>
            </w:r>
          </w:p>
          <w:p>
            <w:pPr>
              <w:pStyle w:val="ListParagraph"/>
              <w:numPr>
                <w:ilvl w:val="0"/>
                <w:numId w:val="2"/>
              </w:numPr>
              <w:spacing w:after="20" w:before="20"/>
            </w:pPr>
            <w:r>
              <w:rPr>
                <w:rFonts w:ascii="Georgia" w:cs="Georgia" w:eastAsia="Georgia" w:hAnsi="Georgia"/>
                <w:sz w:val="18"/>
                <w:szCs w:val="18"/>
              </w:rPr>
              <w:t xml:space="preserve">Draws on 6+ million court cases across 72 metropolitan areas (2000–2016); directly uses data comparable to Eviction Lab.</w:t>
            </w:r>
          </w:p>
          <w:p>
            <w:pPr>
              <w:spacing w:after="0" w:before="40"/>
            </w:pPr>
            <w:r>
              <w:rPr>
                <w:rFonts w:ascii="Georgia" w:cs="Georgia" w:eastAsia="Georgia" w:hAnsi="Georgia"/>
                <w:i/>
                <w:iCs/>
                <w:color w:val="B7791F"/>
                <w:sz w:val="17"/>
                <w:szCs w:val="17"/>
              </w:rPr>
              <w:t xml:space="preserve">⚠ Complicates the eviction+renovation permit correlation: rising permits do not mechanically produce evictions. CommonGround should frame T2-H01 as a multi-factor signal, not a gentrification proxy.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8F3DC" w:val="clear"/>
            <w:tcMar>
              <w:top w:type="dxa" w:w="100"/>
              <w:left w:type="dxa" w:w="150"/>
              <w:bottom w:type="dxa" w:w="60"/>
              <w:right w:type="dxa" w:w="150"/>
            </w:tcMar>
          </w:tcPr>
          <w:p>
            <w:pPr>
              <w:spacing w:after="40" w:before="0"/>
            </w:pPr>
            <w:hyperlink w:history="1" r:id="rIdbkwm-6lvugve9xqxz5_7v">
              <w:r>
                <w:rPr>
                  <w:rFonts w:ascii="Arial" w:cs="Arial" w:eastAsia="Arial" w:hAnsi="Arial"/>
                  <w:b/>
                  <w:bCs/>
                  <w:color w:val="1E3A5F"/>
                  <w:sz w:val="21"/>
                  <w:szCs w:val="21"/>
                  <w:u w:val="single"/>
                </w:rPr>
                <w:t xml:space="preserve">Serial Eviction Filings: How Landlords Use the Courts to Collect Rent</w:t>
              </w:r>
            </w:hyperlink>
          </w:p>
          <w:p>
            <w:pPr>
              <w:spacing w:after="0" w:before="0"/>
            </w:pPr>
            <w:r>
              <w:rPr>
                <w:rFonts w:ascii="Georgia" w:cs="Georgia" w:eastAsia="Georgia" w:hAnsi="Georgia"/>
                <w:i/>
                <w:iCs/>
                <w:color w:val="374151"/>
                <w:sz w:val="18"/>
                <w:szCs w:val="18"/>
              </w:rPr>
              <w:t xml:space="preserve">Summers, N. &amp; Steil, J. · 2025 · Law &amp; Social Inquiry 50</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2D6A4F"/>
                <w:sz w:val="17"/>
                <w:szCs w:val="17"/>
              </w:rPr>
              <w:t xml:space="preserve">DOCUMENTED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T1-H01 serial filer flag; CCAP plaintiff pattern detection</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Large corporate owners are measurably more likely to file serial or repeat evictions against the same households compared with individual property owners.</w:t>
            </w:r>
          </w:p>
          <w:p>
            <w:pPr>
              <w:pStyle w:val="ListParagraph"/>
              <w:numPr>
                <w:ilvl w:val="0"/>
                <w:numId w:val="2"/>
              </w:numPr>
              <w:spacing w:after="20" w:before="20"/>
            </w:pPr>
            <w:r>
              <w:rPr>
                <w:rFonts w:ascii="Georgia" w:cs="Georgia" w:eastAsia="Georgia" w:hAnsi="Georgia"/>
                <w:sz w:val="18"/>
                <w:szCs w:val="18"/>
              </w:rPr>
              <w:t xml:space="preserve">Serial filings function as a rent-collection strategy, not just a displacement tool — they coerce payment through the threat of court proceedings.</w:t>
            </w:r>
          </w:p>
          <w:p>
            <w:pPr>
              <w:pStyle w:val="ListParagraph"/>
              <w:numPr>
                <w:ilvl w:val="0"/>
                <w:numId w:val="2"/>
              </w:numPr>
              <w:spacing w:after="20" w:before="20"/>
            </w:pPr>
            <w:r>
              <w:rPr>
                <w:rFonts w:ascii="Georgia" w:cs="Georgia" w:eastAsia="Georgia" w:hAnsi="Georgia"/>
                <w:sz w:val="18"/>
                <w:szCs w:val="18"/>
              </w:rPr>
              <w:t xml:space="preserve">Directly validates CommonGround's 5+ filings in 30 days trigger as a documented actor pattern.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8F3DC" w:val="clear"/>
            <w:tcMar>
              <w:top w:type="dxa" w:w="100"/>
              <w:left w:type="dxa" w:w="150"/>
              <w:bottom w:type="dxa" w:w="60"/>
              <w:right w:type="dxa" w:w="150"/>
            </w:tcMar>
          </w:tcPr>
          <w:p>
            <w:pPr>
              <w:spacing w:after="40" w:before="0"/>
            </w:pPr>
            <w:hyperlink w:history="1" r:id="rId4wepsqgvvte9iwaixne26">
              <w:r>
                <w:rPr>
                  <w:rFonts w:ascii="Arial" w:cs="Arial" w:eastAsia="Arial" w:hAnsi="Arial"/>
                  <w:b/>
                  <w:bCs/>
                  <w:color w:val="1E3A5F"/>
                  <w:sz w:val="21"/>
                  <w:szCs w:val="21"/>
                  <w:u w:val="single"/>
                </w:rPr>
                <w:t xml:space="preserve">Corporate Landlords, Institutional Investors, and Displacement: Eviction Rates in Single-Family Rentals</w:t>
              </w:r>
            </w:hyperlink>
          </w:p>
          <w:p>
            <w:pPr>
              <w:spacing w:after="0" w:before="0"/>
            </w:pPr>
            <w:r>
              <w:rPr>
                <w:rFonts w:ascii="Georgia" w:cs="Georgia" w:eastAsia="Georgia" w:hAnsi="Georgia"/>
                <w:i/>
                <w:iCs/>
                <w:color w:val="374151"/>
                <w:sz w:val="18"/>
                <w:szCs w:val="18"/>
              </w:rPr>
              <w:t xml:space="preserve">Raymond, E.L., Duckworth, R., Miller, B., Lucas, M., &amp; Pokharel, S. · 2016 · FRB Atlanta Discussion Paper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2D6A4F"/>
                <w:sz w:val="17"/>
                <w:szCs w:val="17"/>
              </w:rPr>
              <w:t xml:space="preserve">DOCUMENTED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LLC clustering + eviction filing cross-reference (Mechanism insight)</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Large corporate owners of single-family rentals are 8% more likely to file eviction notices than small landlords, controlling for property and neighborhood characteristics.</w:t>
            </w:r>
          </w:p>
          <w:p>
            <w:pPr>
              <w:pStyle w:val="ListParagraph"/>
              <w:numPr>
                <w:ilvl w:val="0"/>
                <w:numId w:val="2"/>
              </w:numPr>
              <w:spacing w:after="20" w:before="20"/>
            </w:pPr>
            <w:r>
              <w:rPr>
                <w:rFonts w:ascii="Georgia" w:cs="Georgia" w:eastAsia="Georgia" w:hAnsi="Georgia"/>
                <w:sz w:val="18"/>
                <w:szCs w:val="18"/>
              </w:rPr>
              <w:t xml:space="preserve">Some private equity firms had uniquely high eviction rates — supporting the mechanism of LLC purchase clustering as a speculative landlord network signal.</w:t>
            </w:r>
          </w:p>
          <w:p>
            <w:pPr>
              <w:pStyle w:val="ListParagraph"/>
              <w:numPr>
                <w:ilvl w:val="0"/>
                <w:numId w:val="2"/>
              </w:numPr>
              <w:spacing w:after="20" w:before="20"/>
            </w:pPr>
            <w:r>
              <w:rPr>
                <w:rFonts w:ascii="Georgia" w:cs="Georgia" w:eastAsia="Georgia" w:hAnsi="Georgia"/>
                <w:sz w:val="18"/>
                <w:szCs w:val="18"/>
              </w:rPr>
              <w:t xml:space="preserve">Foundational study establishing the private-equity-to-eviction link now confirmed by multiple replication studies.</w:t>
            </w:r>
          </w:p>
          <w:p>
            <w:pPr>
              <w:spacing w:after="0" w:before="40"/>
            </w:pPr>
            <w:r>
              <w:rPr>
                <w:rFonts w:ascii="Georgia" w:cs="Georgia" w:eastAsia="Georgia" w:hAnsi="Georgia"/>
                <w:i/>
                <w:iCs/>
                <w:color w:val="B7791F"/>
                <w:sz w:val="17"/>
                <w:szCs w:val="17"/>
              </w:rPr>
              <w:t xml:space="preserve">⚠ Foundational Atlanta study. The mechanism is now established; CommonGround should cite this alongside more recent local-verification studies.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FEF3C7" w:val="clear"/>
            <w:tcMar>
              <w:top w:type="dxa" w:w="100"/>
              <w:left w:type="dxa" w:w="150"/>
              <w:bottom w:type="dxa" w:w="60"/>
              <w:right w:type="dxa" w:w="150"/>
            </w:tcMar>
          </w:tcPr>
          <w:p>
            <w:pPr>
              <w:spacing w:after="40" w:before="0"/>
            </w:pPr>
            <w:hyperlink w:history="1" r:id="rIdccda4y3yyuhzf9cpwbwbq">
              <w:r>
                <w:rPr>
                  <w:rFonts w:ascii="Arial" w:cs="Arial" w:eastAsia="Arial" w:hAnsi="Arial"/>
                  <w:b/>
                  <w:bCs/>
                  <w:color w:val="1E3A5F"/>
                  <w:sz w:val="21"/>
                  <w:szCs w:val="21"/>
                  <w:u w:val="single"/>
                </w:rPr>
                <w:t xml:space="preserve">What Drives Displacement? Involuntary Mobility and the Faces of Gentrification</w:t>
              </w:r>
            </w:hyperlink>
          </w:p>
          <w:p>
            <w:pPr>
              <w:spacing w:after="0" w:before="0"/>
            </w:pPr>
            <w:r>
              <w:rPr>
                <w:rFonts w:ascii="Georgia" w:cs="Georgia" w:eastAsia="Georgia" w:hAnsi="Georgia"/>
                <w:i/>
                <w:iCs/>
                <w:color w:val="374151"/>
                <w:sz w:val="18"/>
                <w:szCs w:val="18"/>
              </w:rPr>
              <w:t xml:space="preserve">Beck, K. &amp; Martin, I.W. · 2025 · City &amp; Community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B7791F"/>
                <w:sz w:val="17"/>
                <w:szCs w:val="17"/>
              </w:rPr>
              <w:t xml:space="preserve">CORRELATION</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T2-H01 methodology; eviction as displacement metric</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Tests multiple operational definitions of gentrification simultaneously — shows several displacement-gentrification relationships are robust across measurement choices.</w:t>
            </w:r>
          </w:p>
          <w:p>
            <w:pPr>
              <w:pStyle w:val="ListParagraph"/>
              <w:numPr>
                <w:ilvl w:val="0"/>
                <w:numId w:val="2"/>
              </w:numPr>
              <w:spacing w:after="20" w:before="20"/>
            </w:pPr>
            <w:r>
              <w:rPr>
                <w:rFonts w:ascii="Georgia" w:cs="Georgia" w:eastAsia="Georgia" w:hAnsi="Georgia"/>
                <w:sz w:val="18"/>
                <w:szCs w:val="18"/>
              </w:rPr>
              <w:t xml:space="preserve">Supports use of eviction data as a tractable, direct displacement metric rather than indirect proxies like population churn.</w:t>
            </w:r>
          </w:p>
          <w:p>
            <w:pPr>
              <w:pStyle w:val="ListParagraph"/>
              <w:numPr>
                <w:ilvl w:val="0"/>
                <w:numId w:val="2"/>
              </w:numPr>
              <w:spacing w:after="20" w:before="20"/>
            </w:pPr>
            <w:r>
              <w:rPr>
                <w:rFonts w:ascii="Georgia" w:cs="Georgia" w:eastAsia="Georgia" w:hAnsi="Georgia"/>
                <w:sz w:val="18"/>
                <w:szCs w:val="18"/>
              </w:rPr>
              <w:t xml:space="preserve">Reinforces the value of CommonGround's multi-indicator approach: no single metric captures displacement.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8F3DC" w:val="clear"/>
            <w:tcMar>
              <w:top w:type="dxa" w:w="100"/>
              <w:left w:type="dxa" w:w="150"/>
              <w:bottom w:type="dxa" w:w="60"/>
              <w:right w:type="dxa" w:w="150"/>
            </w:tcMar>
          </w:tcPr>
          <w:p>
            <w:pPr>
              <w:spacing w:after="40" w:before="0"/>
            </w:pPr>
            <w:hyperlink w:history="1" r:id="rIdjtljhkzeomdxprjmuetda">
              <w:r>
                <w:rPr>
                  <w:rFonts w:ascii="Arial" w:cs="Arial" w:eastAsia="Arial" w:hAnsi="Arial"/>
                  <w:b/>
                  <w:bCs/>
                  <w:color w:val="1E3A5F"/>
                  <w:sz w:val="21"/>
                  <w:szCs w:val="21"/>
                  <w:u w:val="single"/>
                </w:rPr>
                <w:t xml:space="preserve">Displaced by Design: Fifty Years of Gentrification and Black Cultural Displacement in US Cities</w:t>
              </w:r>
            </w:hyperlink>
          </w:p>
          <w:p>
            <w:pPr>
              <w:spacing w:after="0" w:before="0"/>
            </w:pPr>
            <w:r>
              <w:rPr>
                <w:rFonts w:ascii="Georgia" w:cs="Georgia" w:eastAsia="Georgia" w:hAnsi="Georgia"/>
                <w:i/>
                <w:iCs/>
                <w:color w:val="374151"/>
                <w:sz w:val="18"/>
                <w:szCs w:val="18"/>
              </w:rPr>
              <w:t xml:space="preserve">National Community Reinvestment Coalition (NCRC) · 2025 · NCRC Report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2D6A4F"/>
                <w:sz w:val="17"/>
                <w:szCs w:val="17"/>
              </w:rPr>
              <w:t xml:space="preserve">DOCUMENTED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Historical context for displacement signals; racial composition as variable</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Gentrification impacted 523 majority-Black neighborhoods between 1980 and 2020; a third underwent complete racial turnover.</w:t>
            </w:r>
          </w:p>
          <w:p>
            <w:pPr>
              <w:pStyle w:val="ListParagraph"/>
              <w:numPr>
                <w:ilvl w:val="0"/>
                <w:numId w:val="2"/>
              </w:numPr>
              <w:spacing w:after="20" w:before="20"/>
            </w:pPr>
            <w:r>
              <w:rPr>
                <w:rFonts w:ascii="Georgia" w:cs="Georgia" w:eastAsia="Georgia" w:hAnsi="Georgia"/>
                <w:sz w:val="18"/>
                <w:szCs w:val="18"/>
              </w:rPr>
              <w:t xml:space="preserve">Estimated 261,000+ fewer Black residents living in neighborhoods that gentrified — displacement at scale.</w:t>
            </w:r>
          </w:p>
          <w:p>
            <w:pPr>
              <w:pStyle w:val="ListParagraph"/>
              <w:numPr>
                <w:ilvl w:val="0"/>
                <w:numId w:val="2"/>
              </w:numPr>
              <w:spacing w:after="20" w:before="20"/>
            </w:pPr>
            <w:r>
              <w:rPr>
                <w:rFonts w:ascii="Georgia" w:cs="Georgia" w:eastAsia="Georgia" w:hAnsi="Georgia"/>
                <w:sz w:val="18"/>
                <w:szCs w:val="18"/>
              </w:rPr>
              <w:t xml:space="preserve">Includes an interactive map application — a directly comparable community data visualization product.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50"/>
              <w:bottom w:type="dxa" w:w="60"/>
              <w:right w:type="dxa" w:w="150"/>
            </w:tcMar>
          </w:tcPr>
          <w:p>
            <w:pPr>
              <w:spacing w:after="40" w:before="0"/>
            </w:pPr>
            <w:hyperlink w:history="1" r:id="rIdqicwuhlnbomen622lyqhk">
              <w:r>
                <w:rPr>
                  <w:rFonts w:ascii="Arial" w:cs="Arial" w:eastAsia="Arial" w:hAnsi="Arial"/>
                  <w:b/>
                  <w:bCs/>
                  <w:color w:val="1E3A5F"/>
                  <w:sz w:val="21"/>
                  <w:szCs w:val="21"/>
                  <w:u w:val="single"/>
                </w:rPr>
                <w:t xml:space="preserve">Corporate-Tech Landlordism — The New Era</w:t>
              </w:r>
            </w:hyperlink>
          </w:p>
          <w:p>
            <w:pPr>
              <w:spacing w:after="0" w:before="0"/>
            </w:pPr>
            <w:r>
              <w:rPr>
                <w:rFonts w:ascii="Georgia" w:cs="Georgia" w:eastAsia="Georgia" w:hAnsi="Georgia"/>
                <w:i/>
                <w:iCs/>
                <w:color w:val="374151"/>
                <w:sz w:val="18"/>
                <w:szCs w:val="18"/>
              </w:rPr>
              <w:t xml:space="preserve">Humber, N.J. · 2025 · Stanford Law Review (forthcoming)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1E3A5F"/>
                <w:sz w:val="17"/>
                <w:szCs w:val="17"/>
              </w:rPr>
              <w:t xml:space="preserve">MECHANISM</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LLC network detection; private equity landlord pattern identification</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Private equity firms owned at minimum 1.6 million family housing units as of June 2022 — and this figure substantially understates real ownership due to deliberate opacity.</w:t>
            </w:r>
          </w:p>
          <w:p>
            <w:pPr>
              <w:pStyle w:val="ListParagraph"/>
              <w:numPr>
                <w:ilvl w:val="0"/>
                <w:numId w:val="2"/>
              </w:numPr>
              <w:spacing w:after="20" w:before="20"/>
            </w:pPr>
            <w:r>
              <w:rPr>
                <w:rFonts w:ascii="Georgia" w:cs="Georgia" w:eastAsia="Georgia" w:hAnsi="Georgia"/>
                <w:sz w:val="18"/>
                <w:szCs w:val="18"/>
              </w:rPr>
              <w:t xml:space="preserve">Property technology (proptech) allows investors to enter housing markets remotely using algorithmic risk assessment, often using race and class as proxies.</w:t>
            </w:r>
          </w:p>
          <w:p>
            <w:pPr>
              <w:pStyle w:val="ListParagraph"/>
              <w:numPr>
                <w:ilvl w:val="0"/>
                <w:numId w:val="2"/>
              </w:numPr>
              <w:spacing w:after="20" w:before="20"/>
            </w:pPr>
            <w:r>
              <w:rPr>
                <w:rFonts w:ascii="Georgia" w:cs="Georgia" w:eastAsia="Georgia" w:hAnsi="Georgia"/>
                <w:sz w:val="18"/>
                <w:szCs w:val="18"/>
              </w:rPr>
              <w:t xml:space="preserve">Recommends requiring states to collect parent company information in rental registries — exactly the accountability function CommonGround's LLC cross-reference layer serves.</w:t>
            </w:r>
          </w:p>
        </w:tc>
      </w:tr>
    </w:tbl>
    <w:p>
      <w:pPr>
        <w:spacing w:after="100" w:before="100"/>
      </w:pPr>
      <w:r>
        <w:t xml:space="preserve"/>
      </w:r>
    </w:p>
    <w:p>
      <w:pPr>
        <w:pStyle w:val="Heading1"/>
        <w:spacing w:after="120" w:before="400"/>
      </w:pPr>
      <w:r>
        <w:rPr>
          <w:rFonts w:ascii="Arial" w:cs="Arial" w:eastAsia="Arial" w:hAnsi="Arial"/>
          <w:b/>
          <w:bCs/>
          <w:color w:val="2D6A4F"/>
          <w:sz w:val="32"/>
          <w:szCs w:val="32"/>
        </w:rPr>
        <w:t xml:space="preserve">II. Food Access, Food Deserts &amp; SNAP</w:t>
      </w:r>
    </w:p>
    <w:p>
      <w:pPr>
        <w:spacing w:after="60" w:before="60"/>
      </w:pPr>
      <w:r>
        <w:rPr>
          <w:rFonts w:ascii="Georgia" w:cs="Georgia" w:eastAsia="Georgia" w:hAnsi="Georgia"/>
          <w:i/>
          <w:iCs/>
          <w:color w:val="374151"/>
          <w:sz w:val="20"/>
          <w:szCs w:val="20"/>
        </w:rPr>
        <w:t xml:space="preserve">Research grounding food access gap detection (T2-F01), SNAP retailer lapse signals, and community fridge coverage analysis.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FEF3C7" w:val="clear"/>
            <w:tcMar>
              <w:top w:type="dxa" w:w="100"/>
              <w:left w:type="dxa" w:w="150"/>
              <w:bottom w:type="dxa" w:w="60"/>
              <w:right w:type="dxa" w:w="150"/>
            </w:tcMar>
          </w:tcPr>
          <w:p>
            <w:pPr>
              <w:spacing w:after="40" w:before="0"/>
            </w:pPr>
            <w:hyperlink w:history="1" r:id="rIdkuscks35v7m6g2aeeq5mh">
              <w:r>
                <w:rPr>
                  <w:rFonts w:ascii="Arial" w:cs="Arial" w:eastAsia="Arial" w:hAnsi="Arial"/>
                  <w:b/>
                  <w:bCs/>
                  <w:color w:val="1E3A5F"/>
                  <w:sz w:val="21"/>
                  <w:szCs w:val="21"/>
                  <w:u w:val="single"/>
                </w:rPr>
                <w:t xml:space="preserve">Beyond 'Food Deserts': America Needs a New Approach to Mapping Food Insecurity</w:t>
              </w:r>
            </w:hyperlink>
          </w:p>
          <w:p>
            <w:pPr>
              <w:spacing w:after="0" w:before="0"/>
            </w:pPr>
            <w:r>
              <w:rPr>
                <w:rFonts w:ascii="Georgia" w:cs="Georgia" w:eastAsia="Georgia" w:hAnsi="Georgia"/>
                <w:i/>
                <w:iCs/>
                <w:color w:val="374151"/>
                <w:sz w:val="18"/>
                <w:szCs w:val="18"/>
              </w:rPr>
              <w:t xml:space="preserve">Brookings Institution · 2022 · Brookings Report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B7791F"/>
                <w:sz w:val="17"/>
                <w:szCs w:val="17"/>
              </w:rPr>
              <w:t xml:space="preserve">CORRELATION</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T2-F01 food access gap; SNAP retailer lapse signal design</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A 2014 USDA study found geographic access to food was generally not associated with household food insecurity rates — the 'food desert' framing alone is insufficient.</w:t>
            </w:r>
          </w:p>
          <w:p>
            <w:pPr>
              <w:pStyle w:val="ListParagraph"/>
              <w:numPr>
                <w:ilvl w:val="0"/>
                <w:numId w:val="2"/>
              </w:numPr>
              <w:spacing w:after="20" w:before="20"/>
            </w:pPr>
            <w:r>
              <w:rPr>
                <w:rFonts w:ascii="Georgia" w:cs="Georgia" w:eastAsia="Georgia" w:hAnsi="Georgia"/>
                <w:sz w:val="18"/>
                <w:szCs w:val="18"/>
              </w:rPr>
              <w:t xml:space="preserve">Food insecurity is primarily driven by income suppression, not store proximity; proximity improvements without affordability interventions do not reduce insecurity.</w:t>
            </w:r>
          </w:p>
          <w:p>
            <w:pPr>
              <w:pStyle w:val="ListParagraph"/>
              <w:numPr>
                <w:ilvl w:val="0"/>
                <w:numId w:val="2"/>
              </w:numPr>
              <w:spacing w:after="20" w:before="20"/>
            </w:pPr>
            <w:r>
              <w:rPr>
                <w:rFonts w:ascii="Georgia" w:cs="Georgia" w:eastAsia="Georgia" w:hAnsi="Georgia"/>
                <w:sz w:val="18"/>
                <w:szCs w:val="18"/>
              </w:rPr>
              <w:t xml:space="preserve">Online grocery access (SNAP Online Purchasing Pilot) is a major omission from traditional food access maps — CommonGround's gap analysis should note this limitation.</w:t>
            </w:r>
          </w:p>
          <w:p>
            <w:pPr>
              <w:spacing w:after="0" w:before="40"/>
            </w:pPr>
            <w:r>
              <w:rPr>
                <w:rFonts w:ascii="Georgia" w:cs="Georgia" w:eastAsia="Georgia" w:hAnsi="Georgia"/>
                <w:i/>
                <w:iCs/>
                <w:color w:val="B7791F"/>
                <w:sz w:val="17"/>
                <w:szCs w:val="17"/>
              </w:rPr>
              <w:t xml:space="preserve">⚠ Critical methodological challenge. T2-F01 should explicitly be labeled CORRELATION and include the caveat that a coverage gap in the data is not the same as a food insecurity crisis.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FEF3C7" w:val="clear"/>
            <w:tcMar>
              <w:top w:type="dxa" w:w="100"/>
              <w:left w:type="dxa" w:w="150"/>
              <w:bottom w:type="dxa" w:w="60"/>
              <w:right w:type="dxa" w:w="150"/>
            </w:tcMar>
          </w:tcPr>
          <w:p>
            <w:pPr>
              <w:spacing w:after="40" w:before="0"/>
            </w:pPr>
            <w:hyperlink w:history="1" r:id="rId3kg60mlqigozn9mp3y_xv">
              <w:r>
                <w:rPr>
                  <w:rFonts w:ascii="Arial" w:cs="Arial" w:eastAsia="Arial" w:hAnsi="Arial"/>
                  <w:b/>
                  <w:bCs/>
                  <w:color w:val="1E3A5F"/>
                  <w:sz w:val="21"/>
                  <w:szCs w:val="21"/>
                  <w:u w:val="single"/>
                </w:rPr>
                <w:t xml:space="preserve">What Is Associated with Changes in Food Security among Low-Income Residents of a Former Food Desert?</w:t>
              </w:r>
            </w:hyperlink>
          </w:p>
          <w:p>
            <w:pPr>
              <w:spacing w:after="0" w:before="0"/>
            </w:pPr>
            <w:r>
              <w:rPr>
                <w:rFonts w:ascii="Georgia" w:cs="Georgia" w:eastAsia="Georgia" w:hAnsi="Georgia"/>
                <w:i/>
                <w:iCs/>
                <w:color w:val="374151"/>
                <w:sz w:val="18"/>
                <w:szCs w:val="18"/>
              </w:rPr>
              <w:t xml:space="preserve">Cantor, J., Ghosh-Dastidar, B., et al. · 2022 · Nutrients 14(24)</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B7791F"/>
                <w:sz w:val="17"/>
                <w:szCs w:val="17"/>
              </w:rPr>
              <w:t xml:space="preserve">CORRELATION</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Food desert designation + SNAP + community resource interaction</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Longitudinal study (2011–2018) of a Pittsburgh neighborhood that gained a supermarket; food security improvement was modest and uneven.</w:t>
            </w:r>
          </w:p>
          <w:p>
            <w:pPr>
              <w:pStyle w:val="ListParagraph"/>
              <w:numPr>
                <w:ilvl w:val="0"/>
                <w:numId w:val="2"/>
              </w:numPr>
              <w:spacing w:after="20" w:before="20"/>
            </w:pPr>
            <w:r>
              <w:rPr>
                <w:rFonts w:ascii="Georgia" w:cs="Georgia" w:eastAsia="Georgia" w:hAnsi="Georgia"/>
                <w:sz w:val="18"/>
                <w:szCs w:val="18"/>
              </w:rPr>
              <w:t xml:space="preserve">Continuous SNAP participation was associated with food security improvements independent of store access changes.</w:t>
            </w:r>
          </w:p>
          <w:p>
            <w:pPr>
              <w:pStyle w:val="ListParagraph"/>
              <w:numPr>
                <w:ilvl w:val="0"/>
                <w:numId w:val="2"/>
              </w:numPr>
              <w:spacing w:after="20" w:before="20"/>
            </w:pPr>
            <w:r>
              <w:rPr>
                <w:rFonts w:ascii="Georgia" w:cs="Georgia" w:eastAsia="Georgia" w:hAnsi="Georgia"/>
                <w:sz w:val="18"/>
                <w:szCs w:val="18"/>
              </w:rPr>
              <w:t xml:space="preserve">Suggests that mutual aid food resources + SNAP access together matter more than store proximity alone — supports CommonGround's composite asset layer approach.</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FEF3C7" w:val="clear"/>
            <w:tcMar>
              <w:top w:type="dxa" w:w="100"/>
              <w:left w:type="dxa" w:w="150"/>
              <w:bottom w:type="dxa" w:w="60"/>
              <w:right w:type="dxa" w:w="150"/>
            </w:tcMar>
          </w:tcPr>
          <w:p>
            <w:pPr>
              <w:spacing w:after="40" w:before="0"/>
            </w:pPr>
            <w:hyperlink w:history="1" r:id="rIdaixozkupliu_bdo1gbsob">
              <w:r>
                <w:rPr>
                  <w:rFonts w:ascii="Arial" w:cs="Arial" w:eastAsia="Arial" w:hAnsi="Arial"/>
                  <w:b/>
                  <w:bCs/>
                  <w:color w:val="1E3A5F"/>
                  <w:sz w:val="21"/>
                  <w:szCs w:val="21"/>
                  <w:u w:val="single"/>
                </w:rPr>
                <w:t xml:space="preserve">Food Deserts Are More Common in Neighborhoods with High Minority Populations or Elevated Poverty Rates</w:t>
              </w:r>
            </w:hyperlink>
          </w:p>
          <w:p>
            <w:pPr>
              <w:spacing w:after="0" w:before="0"/>
            </w:pPr>
            <w:r>
              <w:rPr>
                <w:rFonts w:ascii="Georgia" w:cs="Georgia" w:eastAsia="Georgia" w:hAnsi="Georgia"/>
                <w:i/>
                <w:iCs/>
                <w:color w:val="374151"/>
                <w:sz w:val="18"/>
                <w:szCs w:val="18"/>
              </w:rPr>
              <w:t xml:space="preserve">Food Research &amp; Action Center · 2025 · FRAC Research Brief</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B7791F"/>
                <w:sz w:val="17"/>
                <w:szCs w:val="17"/>
              </w:rPr>
              <w:t xml:space="preserve">CORRELATION</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USDA Atlas baseline; food desert designation validation</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Food deserts cluster in high-minority, high-poverty neighborhoods — co-occurrence with SVI is well-established.</w:t>
            </w:r>
          </w:p>
          <w:p>
            <w:pPr>
              <w:pStyle w:val="ListParagraph"/>
              <w:numPr>
                <w:ilvl w:val="0"/>
                <w:numId w:val="2"/>
              </w:numPr>
              <w:spacing w:after="20" w:before="20"/>
            </w:pPr>
            <w:r>
              <w:rPr>
                <w:rFonts w:ascii="Georgia" w:cs="Georgia" w:eastAsia="Georgia" w:hAnsi="Georgia"/>
                <w:sz w:val="18"/>
                <w:szCs w:val="18"/>
              </w:rPr>
              <w:t xml:space="preserve">SNAP's primary role is reducing food insecurity (not dietary quality), and average benefit of ~$6/day remains inadequate.</w:t>
            </w:r>
          </w:p>
          <w:p>
            <w:pPr>
              <w:pStyle w:val="ListParagraph"/>
              <w:numPr>
                <w:ilvl w:val="0"/>
                <w:numId w:val="2"/>
              </w:numPr>
              <w:spacing w:after="20" w:before="20"/>
            </w:pPr>
            <w:r>
              <w:rPr>
                <w:rFonts w:ascii="Georgia" w:cs="Georgia" w:eastAsia="Georgia" w:hAnsi="Georgia"/>
                <w:sz w:val="18"/>
                <w:szCs w:val="18"/>
              </w:rPr>
              <w:t xml:space="preserve">Methodological note: selection bias in SNAP studies is severe — participants who self-enroll face the most acute need, complicating outcome comparisons.</w:t>
            </w:r>
          </w:p>
        </w:tc>
      </w:tr>
    </w:tbl>
    <w:p>
      <w:pPr>
        <w:spacing w:after="100" w:before="100"/>
      </w:pPr>
      <w:r>
        <w:t xml:space="preserve"/>
      </w:r>
    </w:p>
    <w:p>
      <w:pPr>
        <w:pStyle w:val="Heading1"/>
        <w:spacing w:after="120" w:before="400"/>
      </w:pPr>
      <w:r>
        <w:rPr>
          <w:rFonts w:ascii="Arial" w:cs="Arial" w:eastAsia="Arial" w:hAnsi="Arial"/>
          <w:b/>
          <w:bCs/>
          <w:color w:val="1E3A5F"/>
          <w:sz w:val="32"/>
          <w:szCs w:val="32"/>
        </w:rPr>
        <w:t xml:space="preserve">III. Environmental Justice: Pollution + Vulnerability Double Burden</w:t>
      </w:r>
    </w:p>
    <w:p>
      <w:pPr>
        <w:spacing w:after="60" w:before="60"/>
      </w:pPr>
      <w:r>
        <w:rPr>
          <w:rFonts w:ascii="Georgia" w:cs="Georgia" w:eastAsia="Georgia" w:hAnsi="Georgia"/>
          <w:i/>
          <w:iCs/>
          <w:color w:val="374151"/>
          <w:sz w:val="20"/>
          <w:szCs w:val="20"/>
        </w:rPr>
        <w:t xml:space="preserve">Research grounding the EJScreen × SVI double-burden mechanism (T2-ENV01) and urban heat island × tree canopy × SVI vulnerability map.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8F3DC" w:val="clear"/>
            <w:tcMar>
              <w:top w:type="dxa" w:w="100"/>
              <w:left w:type="dxa" w:w="150"/>
              <w:bottom w:type="dxa" w:w="60"/>
              <w:right w:type="dxa" w:w="150"/>
            </w:tcMar>
          </w:tcPr>
          <w:p>
            <w:pPr>
              <w:spacing w:after="40" w:before="0"/>
            </w:pPr>
            <w:hyperlink w:history="1" r:id="rIdp51jtd19s-xb1y4gisq2q">
              <w:r>
                <w:rPr>
                  <w:rFonts w:ascii="Arial" w:cs="Arial" w:eastAsia="Arial" w:hAnsi="Arial"/>
                  <w:b/>
                  <w:bCs/>
                  <w:color w:val="1E3A5F"/>
                  <w:sz w:val="21"/>
                  <w:szCs w:val="21"/>
                  <w:u w:val="single"/>
                </w:rPr>
                <w:t xml:space="preserve">Disproportionate Exposure to Urban Heat Island Intensity Across Major US Cities</w:t>
              </w:r>
            </w:hyperlink>
          </w:p>
          <w:p>
            <w:pPr>
              <w:spacing w:after="0" w:before="0"/>
            </w:pPr>
            <w:r>
              <w:rPr>
                <w:rFonts w:ascii="Georgia" w:cs="Georgia" w:eastAsia="Georgia" w:hAnsi="Georgia"/>
                <w:i/>
                <w:iCs/>
                <w:color w:val="374151"/>
                <w:sz w:val="18"/>
                <w:szCs w:val="18"/>
              </w:rPr>
              <w:t xml:space="preserve">Hsu, A., Sheriff, G., Chakraborty, T., &amp; Manya, D. · 2021 · Nature Communications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2D6A4F"/>
                <w:sz w:val="17"/>
                <w:szCs w:val="17"/>
              </w:rPr>
              <w:t xml:space="preserve">DOCUMENTED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Urban heat + SVI + tree canopy correlation; heat vulnerability map layer</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People of color live in census tracts with higher urban heat island intensity than non-Hispanic whites in 169 of 175 largest US urbanized areas.</w:t>
            </w:r>
          </w:p>
          <w:p>
            <w:pPr>
              <w:pStyle w:val="ListParagraph"/>
              <w:numPr>
                <w:ilvl w:val="0"/>
                <w:numId w:val="2"/>
              </w:numPr>
              <w:spacing w:after="20" w:before="20"/>
            </w:pPr>
            <w:r>
              <w:rPr>
                <w:rFonts w:ascii="Georgia" w:cs="Georgia" w:eastAsia="Georgia" w:hAnsi="Georgia"/>
                <w:sz w:val="18"/>
                <w:szCs w:val="18"/>
              </w:rPr>
              <w:t xml:space="preserve">People living below the poverty line show highest surface urban heat island (SUHI) exposure across all climatic zones.</w:t>
            </w:r>
          </w:p>
          <w:p>
            <w:pPr>
              <w:pStyle w:val="ListParagraph"/>
              <w:numPr>
                <w:ilvl w:val="0"/>
                <w:numId w:val="2"/>
              </w:numPr>
              <w:spacing w:after="20" w:before="20"/>
            </w:pPr>
            <w:r>
              <w:rPr>
                <w:rFonts w:ascii="Georgia" w:cs="Georgia" w:eastAsia="Georgia" w:hAnsi="Georgia"/>
                <w:sz w:val="18"/>
                <w:szCs w:val="18"/>
              </w:rPr>
              <w:t xml:space="preserve">Directly validates CommonGround's urban heat + SVI + low canopy compound vulnerability signal using Sentinel-2/NDVI data.</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50"/>
              <w:bottom w:type="dxa" w:w="60"/>
              <w:right w:type="dxa" w:w="150"/>
            </w:tcMar>
          </w:tcPr>
          <w:p>
            <w:pPr>
              <w:spacing w:after="40" w:before="0"/>
            </w:pPr>
            <w:hyperlink w:history="1" r:id="rIdoq2qd_hdqzbhqaedfdqsj">
              <w:r>
                <w:rPr>
                  <w:rFonts w:ascii="Arial" w:cs="Arial" w:eastAsia="Arial" w:hAnsi="Arial"/>
                  <w:b/>
                  <w:bCs/>
                  <w:color w:val="1E3A5F"/>
                  <w:sz w:val="21"/>
                  <w:szCs w:val="21"/>
                  <w:u w:val="single"/>
                </w:rPr>
                <w:t xml:space="preserve">Synergy of Urban Heat, Pollution, and Social Vulnerability in One of America's Most Rapidly Growing Cities</w:t>
              </w:r>
            </w:hyperlink>
          </w:p>
          <w:p>
            <w:pPr>
              <w:spacing w:after="0" w:before="0"/>
            </w:pPr>
            <w:r>
              <w:rPr>
                <w:rFonts w:ascii="Georgia" w:cs="Georgia" w:eastAsia="Georgia" w:hAnsi="Georgia"/>
                <w:i/>
                <w:iCs/>
                <w:color w:val="374151"/>
                <w:sz w:val="18"/>
                <w:szCs w:val="18"/>
              </w:rPr>
              <w:t xml:space="preserve">Blackford, C., et al. · 2024 · GeoHealth</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1E3A5F"/>
                <w:sz w:val="17"/>
                <w:szCs w:val="17"/>
              </w:rPr>
              <w:t xml:space="preserve">MECHANISM</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T2-ENV01 double-burden; urban heat + pollution island + SVI compound signal</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Documents the synergy of Urban Heat Islands + Urban Pollution Islands + social vulnerability in Houston — compounding effects are not additive but multiplicative.</w:t>
            </w:r>
          </w:p>
          <w:p>
            <w:pPr>
              <w:pStyle w:val="ListParagraph"/>
              <w:numPr>
                <w:ilvl w:val="0"/>
                <w:numId w:val="2"/>
              </w:numPr>
              <w:spacing w:after="20" w:before="20"/>
            </w:pPr>
            <w:r>
              <w:rPr>
                <w:rFonts w:ascii="Georgia" w:cs="Georgia" w:eastAsia="Georgia" w:hAnsi="Georgia"/>
                <w:sz w:val="18"/>
                <w:szCs w:val="18"/>
              </w:rPr>
              <w:t xml:space="preserve">Redlined neighborhoods are overrepresented in the highest-burden areas across all three indicators.</w:t>
            </w:r>
          </w:p>
          <w:p>
            <w:pPr>
              <w:pStyle w:val="ListParagraph"/>
              <w:numPr>
                <w:ilvl w:val="0"/>
                <w:numId w:val="2"/>
              </w:numPr>
              <w:spacing w:after="20" w:before="20"/>
            </w:pPr>
            <w:r>
              <w:rPr>
                <w:rFonts w:ascii="Georgia" w:cs="Georgia" w:eastAsia="Georgia" w:hAnsi="Georgia"/>
                <w:sz w:val="18"/>
                <w:szCs w:val="18"/>
              </w:rPr>
              <w:t xml:space="preserve">Directly models the EJScreen × SVI compound mechanism that CommonGround uses for T2-ENV01 alerts.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50"/>
              <w:bottom w:type="dxa" w:w="60"/>
              <w:right w:type="dxa" w:w="150"/>
            </w:tcMar>
          </w:tcPr>
          <w:p>
            <w:pPr>
              <w:spacing w:after="40" w:before="0"/>
            </w:pPr>
            <w:hyperlink w:history="1" r:id="rIdp6clpctebqlmk1d4djtdw">
              <w:r>
                <w:rPr>
                  <w:rFonts w:ascii="Arial" w:cs="Arial" w:eastAsia="Arial" w:hAnsi="Arial"/>
                  <w:b/>
                  <w:bCs/>
                  <w:color w:val="1E3A5F"/>
                  <w:sz w:val="21"/>
                  <w:szCs w:val="21"/>
                  <w:u w:val="single"/>
                </w:rPr>
                <w:t xml:space="preserve">Prioritizing Social Vulnerability in Urban Heat Mitigation</w:t>
              </w:r>
            </w:hyperlink>
          </w:p>
          <w:p>
            <w:pPr>
              <w:spacing w:after="0" w:before="0"/>
            </w:pPr>
            <w:r>
              <w:rPr>
                <w:rFonts w:ascii="Georgia" w:cs="Georgia" w:eastAsia="Georgia" w:hAnsi="Georgia"/>
                <w:i/>
                <w:iCs/>
                <w:color w:val="374151"/>
                <w:sz w:val="18"/>
                <w:szCs w:val="18"/>
              </w:rPr>
              <w:t xml:space="preserve">Ahn, Y., Jeon, H., &amp; Lee, K. · 2024 · PNAS Nexus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1E3A5F"/>
                <w:sz w:val="17"/>
                <w:szCs w:val="17"/>
              </w:rPr>
              <w:t xml:space="preserve">MECHANISM</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Tree canopy + SVI → heat stress; CommonGround solarpunk asset layer</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Urban tree canopy strategy produces more equitable cooling than cool roofs or green roofs — the benefit actually increases with social vulnerability score.</w:t>
            </w:r>
          </w:p>
          <w:p>
            <w:pPr>
              <w:pStyle w:val="ListParagraph"/>
              <w:numPr>
                <w:ilvl w:val="0"/>
                <w:numId w:val="2"/>
              </w:numPr>
              <w:spacing w:after="20" w:before="20"/>
            </w:pPr>
            <w:r>
              <w:rPr>
                <w:rFonts w:ascii="Georgia" w:cs="Georgia" w:eastAsia="Georgia" w:hAnsi="Georgia"/>
                <w:sz w:val="18"/>
                <w:szCs w:val="18"/>
              </w:rPr>
              <w:t xml:space="preserve">Emergency medical service requests during heatwaves are significantly higher in high-SVI neighborhoods.</w:t>
            </w:r>
          </w:p>
          <w:p>
            <w:pPr>
              <w:pStyle w:val="ListParagraph"/>
              <w:numPr>
                <w:ilvl w:val="0"/>
                <w:numId w:val="2"/>
              </w:numPr>
              <w:spacing w:after="20" w:before="20"/>
            </w:pPr>
            <w:r>
              <w:rPr>
                <w:rFonts w:ascii="Georgia" w:cs="Georgia" w:eastAsia="Georgia" w:hAnsi="Georgia"/>
                <w:sz w:val="18"/>
                <w:szCs w:val="18"/>
              </w:rPr>
              <w:t xml:space="preserve">Supports CommonGround's Solarpunk Commitment: tree canopy is both a documented hazard indicator and a community asset layer.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8F3DC" w:val="clear"/>
            <w:tcMar>
              <w:top w:type="dxa" w:w="100"/>
              <w:left w:type="dxa" w:w="150"/>
              <w:bottom w:type="dxa" w:w="60"/>
              <w:right w:type="dxa" w:w="150"/>
            </w:tcMar>
          </w:tcPr>
          <w:p>
            <w:pPr>
              <w:spacing w:after="40" w:before="0"/>
            </w:pPr>
            <w:hyperlink w:history="1" r:id="rId0fbgngifoyblf7yna9xlt">
              <w:r>
                <w:rPr>
                  <w:rFonts w:ascii="Arial" w:cs="Arial" w:eastAsia="Arial" w:hAnsi="Arial"/>
                  <w:b/>
                  <w:bCs/>
                  <w:color w:val="1E3A5F"/>
                  <w:sz w:val="21"/>
                  <w:szCs w:val="21"/>
                  <w:u w:val="single"/>
                </w:rPr>
                <w:t xml:space="preserve">How CDC Is Putting Environmental Justice on the Map (EJI Technical Documentation)</w:t>
              </w:r>
            </w:hyperlink>
          </w:p>
          <w:p>
            <w:pPr>
              <w:spacing w:after="0" w:before="0"/>
            </w:pPr>
            <w:r>
              <w:rPr>
                <w:rFonts w:ascii="Georgia" w:cs="Georgia" w:eastAsia="Georgia" w:hAnsi="Georgia"/>
                <w:i/>
                <w:iCs/>
                <w:color w:val="374151"/>
                <w:sz w:val="18"/>
                <w:szCs w:val="18"/>
              </w:rPr>
              <w:t xml:space="preserve">CDC/ATSDR · 2024 · CDC EJI Documentation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2D6A4F"/>
                <w:sz w:val="17"/>
                <w:szCs w:val="17"/>
              </w:rPr>
              <w:t xml:space="preserve">DOCUMENTED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EJScreen + SVI methodology; EPA EJScreen data source validation</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The EJI, EJScreen, and SVI draw from overlapping data but have distinct methodological purposes — EJScreen is screening/comparison; SVI is disaster management; EJI measures cumulative health burden.</w:t>
            </w:r>
          </w:p>
          <w:p>
            <w:pPr>
              <w:pStyle w:val="ListParagraph"/>
              <w:numPr>
                <w:ilvl w:val="0"/>
                <w:numId w:val="2"/>
              </w:numPr>
              <w:spacing w:after="20" w:before="20"/>
            </w:pPr>
            <w:r>
              <w:rPr>
                <w:rFonts w:ascii="Georgia" w:cs="Georgia" w:eastAsia="Georgia" w:hAnsi="Georgia"/>
                <w:sz w:val="18"/>
                <w:szCs w:val="18"/>
              </w:rPr>
              <w:t xml:space="preserve">Using the EJI Social-Environmental Ranking (SER, not the full EJI) is recommended for correlation studies to avoid circular reasoning when health outcomes are also the target.</w:t>
            </w:r>
          </w:p>
          <w:p>
            <w:pPr>
              <w:pStyle w:val="ListParagraph"/>
              <w:numPr>
                <w:ilvl w:val="0"/>
                <w:numId w:val="2"/>
              </w:numPr>
              <w:spacing w:after="20" w:before="20"/>
            </w:pPr>
            <w:r>
              <w:rPr>
                <w:rFonts w:ascii="Georgia" w:cs="Georgia" w:eastAsia="Georgia" w:hAnsi="Georgia"/>
                <w:sz w:val="18"/>
                <w:szCs w:val="18"/>
              </w:rPr>
              <w:t xml:space="preserve">Confirms that 1-mile buffer methodology for proximity to environmental hazards is standard and well-suited to CommonGround's scale.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50"/>
              <w:bottom w:type="dxa" w:w="60"/>
              <w:right w:type="dxa" w:w="150"/>
            </w:tcMar>
          </w:tcPr>
          <w:p>
            <w:pPr>
              <w:spacing w:after="40" w:before="0"/>
            </w:pPr>
            <w:hyperlink w:history="1" r:id="rIdcm3wtrlmf-pdztq6jnkgr">
              <w:r>
                <w:rPr>
                  <w:rFonts w:ascii="Arial" w:cs="Arial" w:eastAsia="Arial" w:hAnsi="Arial"/>
                  <w:b/>
                  <w:bCs/>
                  <w:color w:val="1E3A5F"/>
                  <w:sz w:val="21"/>
                  <w:szCs w:val="21"/>
                  <w:u w:val="single"/>
                </w:rPr>
                <w:t xml:space="preserve">Environmental Justice: Context, Challenges and National Approaches</w:t>
              </w:r>
            </w:hyperlink>
          </w:p>
          <w:p>
            <w:pPr>
              <w:spacing w:after="0" w:before="0"/>
            </w:pPr>
            <w:r>
              <w:rPr>
                <w:rFonts w:ascii="Georgia" w:cs="Georgia" w:eastAsia="Georgia" w:hAnsi="Georgia"/>
                <w:i/>
                <w:iCs/>
                <w:color w:val="374151"/>
                <w:sz w:val="18"/>
                <w:szCs w:val="18"/>
              </w:rPr>
              <w:t xml:space="preserve">OECD · 2024 · OECD Report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1E3A5F"/>
                <w:sz w:val="17"/>
                <w:szCs w:val="17"/>
              </w:rPr>
              <w:t xml:space="preserve">MECHANISM</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EJ double-burden mechanism; international research base</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Higher environmental exposure compounded by uneven adaptive capacity magnifies health inequities at the intersection of race, gender, and socioeconomic status — the canonical EJ mechanism.</w:t>
            </w:r>
          </w:p>
          <w:p>
            <w:pPr>
              <w:pStyle w:val="ListParagraph"/>
              <w:numPr>
                <w:ilvl w:val="0"/>
                <w:numId w:val="2"/>
              </w:numPr>
              <w:spacing w:after="20" w:before="20"/>
            </w:pPr>
            <w:r>
              <w:rPr>
                <w:rFonts w:ascii="Georgia" w:cs="Georgia" w:eastAsia="Georgia" w:hAnsi="Georgia"/>
                <w:sz w:val="18"/>
                <w:szCs w:val="18"/>
              </w:rPr>
              <w:t xml:space="preserve">Environmental amenities (green space, clean water, EV charging) are also unevenly distributed — mirrors CommonGround's asset gap layer logic.</w:t>
            </w:r>
          </w:p>
          <w:p>
            <w:pPr>
              <w:pStyle w:val="ListParagraph"/>
              <w:numPr>
                <w:ilvl w:val="0"/>
                <w:numId w:val="2"/>
              </w:numPr>
              <w:spacing w:after="20" w:before="20"/>
            </w:pPr>
            <w:r>
              <w:rPr>
                <w:rFonts w:ascii="Georgia" w:cs="Georgia" w:eastAsia="Georgia" w:hAnsi="Georgia"/>
                <w:sz w:val="18"/>
                <w:szCs w:val="18"/>
              </w:rPr>
              <w:t xml:space="preserve">Documents EJScreen and SVI as internationally recognized screening tools.</w:t>
            </w:r>
          </w:p>
        </w:tc>
      </w:tr>
    </w:tbl>
    <w:p>
      <w:pPr>
        <w:spacing w:after="100" w:before="100"/>
      </w:pPr>
      <w:r>
        <w:t xml:space="preserve"/>
      </w:r>
    </w:p>
    <w:p>
      <w:pPr>
        <w:pStyle w:val="Heading1"/>
        <w:spacing w:after="120" w:before="400"/>
      </w:pPr>
      <w:r>
        <w:rPr>
          <w:rFonts w:ascii="Arial" w:cs="Arial" w:eastAsia="Arial" w:hAnsi="Arial"/>
          <w:b/>
          <w:bCs/>
          <w:color w:val="4C1D95"/>
          <w:sz w:val="32"/>
          <w:szCs w:val="32"/>
        </w:rPr>
        <w:t xml:space="preserve">IV. Community Resilience &amp; Mutual Aid</w:t>
      </w:r>
    </w:p>
    <w:p>
      <w:pPr>
        <w:spacing w:after="60" w:before="60"/>
      </w:pPr>
      <w:r>
        <w:rPr>
          <w:rFonts w:ascii="Georgia" w:cs="Georgia" w:eastAsia="Georgia" w:hAnsi="Georgia"/>
          <w:i/>
          <w:iCs/>
          <w:color w:val="374151"/>
          <w:sz w:val="20"/>
          <w:szCs w:val="20"/>
        </w:rPr>
        <w:t xml:space="preserve">Research grounding the mutual aid gap and coverage alerts (T3-R01, T2-F01), resilience composite signals, and the community asset layer theory.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50"/>
              <w:bottom w:type="dxa" w:w="60"/>
              <w:right w:type="dxa" w:w="150"/>
            </w:tcMar>
          </w:tcPr>
          <w:p>
            <w:pPr>
              <w:spacing w:after="40" w:before="0"/>
            </w:pPr>
            <w:hyperlink w:history="1" r:id="rIddvlhvfip8pegdgqwjgune">
              <w:r>
                <w:rPr>
                  <w:rFonts w:ascii="Arial" w:cs="Arial" w:eastAsia="Arial" w:hAnsi="Arial"/>
                  <w:b/>
                  <w:bCs/>
                  <w:color w:val="1E3A5F"/>
                  <w:sz w:val="21"/>
                  <w:szCs w:val="21"/>
                  <w:u w:val="single"/>
                </w:rPr>
                <w:t xml:space="preserve">Pandemic Response and Mutual Aid as Climate Resilience: Learning from Community Responses in the Boston Area</w:t>
              </w:r>
            </w:hyperlink>
          </w:p>
          <w:p>
            <w:pPr>
              <w:spacing w:after="0" w:before="0"/>
            </w:pPr>
            <w:r>
              <w:rPr>
                <w:rFonts w:ascii="Georgia" w:cs="Georgia" w:eastAsia="Georgia" w:hAnsi="Georgia"/>
                <w:i/>
                <w:iCs/>
                <w:color w:val="374151"/>
                <w:sz w:val="18"/>
                <w:szCs w:val="18"/>
              </w:rPr>
              <w:t xml:space="preserve">Penniman, L., et al. · 2023 · Journal of Climate Resilience and Climate Justice (MIT Press)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1E3A5F"/>
                <w:sz w:val="17"/>
                <w:szCs w:val="17"/>
              </w:rPr>
              <w:t xml:space="preserve">MECHANISM</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Mutual aid coverage → community resilience; T3-R01 gap alert rationale</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Community-based organizations and mutual aid networks saved lives during COVID-19 and built social capital that translates directly to climate resilience.</w:t>
            </w:r>
          </w:p>
          <w:p>
            <w:pPr>
              <w:pStyle w:val="ListParagraph"/>
              <w:numPr>
                <w:ilvl w:val="0"/>
                <w:numId w:val="2"/>
              </w:numPr>
              <w:spacing w:after="20" w:before="20"/>
            </w:pPr>
            <w:r>
              <w:rPr>
                <w:rFonts w:ascii="Georgia" w:cs="Georgia" w:eastAsia="Georgia" w:hAnsi="Georgia"/>
                <w:sz w:val="18"/>
                <w:szCs w:val="18"/>
              </w:rPr>
              <w:t xml:space="preserve">Mutual aid is not new — it is rooted in the histories of marginalized peoples and reemerges in every major crisis, from Hurricane Katrina to Hurricane Maria.</w:t>
            </w:r>
          </w:p>
          <w:p>
            <w:pPr>
              <w:pStyle w:val="ListParagraph"/>
              <w:numPr>
                <w:ilvl w:val="0"/>
                <w:numId w:val="2"/>
              </w:numPr>
              <w:spacing w:after="20" w:before="20"/>
            </w:pPr>
            <w:r>
              <w:rPr>
                <w:rFonts w:ascii="Georgia" w:cs="Georgia" w:eastAsia="Georgia" w:hAnsi="Georgia"/>
                <w:sz w:val="18"/>
                <w:szCs w:val="18"/>
              </w:rPr>
              <w:t xml:space="preserve">Resilience is fundamentally relational infrastructure, not just physical — directly supports CommonGround's solarpunk asset layer philosophy.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50"/>
              <w:bottom w:type="dxa" w:w="60"/>
              <w:right w:type="dxa" w:w="150"/>
            </w:tcMar>
          </w:tcPr>
          <w:p>
            <w:pPr>
              <w:spacing w:after="40" w:before="0"/>
            </w:pPr>
            <w:hyperlink w:history="1" r:id="rIdsfir3updqrlzj8fzkh8gv">
              <w:r>
                <w:rPr>
                  <w:rFonts w:ascii="Arial" w:cs="Arial" w:eastAsia="Arial" w:hAnsi="Arial"/>
                  <w:b/>
                  <w:bCs/>
                  <w:color w:val="1E3A5F"/>
                  <w:sz w:val="21"/>
                  <w:szCs w:val="21"/>
                  <w:u w:val="single"/>
                </w:rPr>
                <w:t xml:space="preserve">How Does Social Capital Facilitate Community Disaster Resilience? A Systematic Review</w:t>
              </w:r>
            </w:hyperlink>
          </w:p>
          <w:p>
            <w:pPr>
              <w:spacing w:after="0" w:before="0"/>
            </w:pPr>
            <w:r>
              <w:rPr>
                <w:rFonts w:ascii="Georgia" w:cs="Georgia" w:eastAsia="Georgia" w:hAnsi="Georgia"/>
                <w:i/>
                <w:iCs/>
                <w:color w:val="374151"/>
                <w:sz w:val="18"/>
                <w:szCs w:val="18"/>
              </w:rPr>
              <w:t xml:space="preserve">Frontiers in Environmental Science · 2024 · Frontiers in Environmental Science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1E3A5F"/>
                <w:sz w:val="17"/>
                <w:szCs w:val="17"/>
              </w:rPr>
              <w:t xml:space="preserve">MECHANISM</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Mutual aid + food pantry density → resilience composite signal</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Social capital (mutual trust networks) is the primary mechanism by which communities share timely disaster information — families and neighbors are used more than official sources under extreme conditions.</w:t>
            </w:r>
          </w:p>
          <w:p>
            <w:pPr>
              <w:pStyle w:val="ListParagraph"/>
              <w:numPr>
                <w:ilvl w:val="0"/>
                <w:numId w:val="2"/>
              </w:numPr>
              <w:spacing w:after="20" w:before="20"/>
            </w:pPr>
            <w:r>
              <w:rPr>
                <w:rFonts w:ascii="Georgia" w:cs="Georgia" w:eastAsia="Georgia" w:hAnsi="Georgia"/>
                <w:sz w:val="18"/>
                <w:szCs w:val="18"/>
              </w:rPr>
              <w:t xml:space="preserve">Community-based organizations with strong social networks positively contribute to adaptive capacity at every stage: preparation, response, and recovery.</w:t>
            </w:r>
          </w:p>
          <w:p>
            <w:pPr>
              <w:pStyle w:val="ListParagraph"/>
              <w:numPr>
                <w:ilvl w:val="0"/>
                <w:numId w:val="2"/>
              </w:numPr>
              <w:spacing w:after="20" w:before="20"/>
            </w:pPr>
            <w:r>
              <w:rPr>
                <w:rFonts w:ascii="Georgia" w:cs="Georgia" w:eastAsia="Georgia" w:hAnsi="Georgia"/>
                <w:sz w:val="18"/>
                <w:szCs w:val="18"/>
              </w:rPr>
              <w:t xml:space="preserve">Directly supports CommonGround's community resilience composite: mutual aid density + food pantry density + FQHC proximity as a structural resilience signal.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50"/>
              <w:bottom w:type="dxa" w:w="60"/>
              <w:right w:type="dxa" w:w="150"/>
            </w:tcMar>
          </w:tcPr>
          <w:p>
            <w:pPr>
              <w:spacing w:after="40" w:before="0"/>
            </w:pPr>
            <w:hyperlink w:history="1" r:id="rId9jywabfvhiyvaokzdiwks">
              <w:r>
                <w:rPr>
                  <w:rFonts w:ascii="Arial" w:cs="Arial" w:eastAsia="Arial" w:hAnsi="Arial"/>
                  <w:b/>
                  <w:bCs/>
                  <w:color w:val="1E3A5F"/>
                  <w:sz w:val="21"/>
                  <w:szCs w:val="21"/>
                  <w:u w:val="single"/>
                </w:rPr>
                <w:t xml:space="preserve">Mutual Aid as Disaster Response in NYC: Hurricane Sandy to COVID-19</w:t>
              </w:r>
            </w:hyperlink>
          </w:p>
          <w:p>
            <w:pPr>
              <w:spacing w:after="0" w:before="0"/>
            </w:pPr>
            <w:r>
              <w:rPr>
                <w:rFonts w:ascii="Georgia" w:cs="Georgia" w:eastAsia="Georgia" w:hAnsi="Georgia"/>
                <w:i/>
                <w:iCs/>
                <w:color w:val="374151"/>
                <w:sz w:val="18"/>
                <w:szCs w:val="18"/>
              </w:rPr>
              <w:t xml:space="preserve">ResearchGate / MADR Network · 2022 · ResearchGate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1E3A5F"/>
                <w:sz w:val="17"/>
                <w:szCs w:val="17"/>
              </w:rPr>
              <w:t xml:space="preserve">MECHANISM</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Mutual aid as alternative to state disaster response; solarpunk commitment</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Mutual aid, grounded in principles of solidarity rather than charity, provides disaster response that explicitly excludes people excluded by state systems (undocumented residents, people with substance use histories).</w:t>
            </w:r>
          </w:p>
          <w:p>
            <w:pPr>
              <w:pStyle w:val="ListParagraph"/>
              <w:numPr>
                <w:ilvl w:val="0"/>
                <w:numId w:val="2"/>
              </w:numPr>
              <w:spacing w:after="20" w:before="20"/>
            </w:pPr>
            <w:r>
              <w:rPr>
                <w:rFonts w:ascii="Georgia" w:cs="Georgia" w:eastAsia="Georgia" w:hAnsi="Georgia"/>
                <w:sz w:val="18"/>
                <w:szCs w:val="18"/>
              </w:rPr>
              <w:t xml:space="preserve">Traditional state-based aid can explicitly exclude the most vulnerable — mutual aid fills this gap as a documented pattern across multiple disasters.</w:t>
            </w:r>
          </w:p>
          <w:p>
            <w:pPr>
              <w:pStyle w:val="ListParagraph"/>
              <w:numPr>
                <w:ilvl w:val="0"/>
                <w:numId w:val="2"/>
              </w:numPr>
              <w:spacing w:after="20" w:before="20"/>
            </w:pPr>
            <w:r>
              <w:rPr>
                <w:rFonts w:ascii="Georgia" w:cs="Georgia" w:eastAsia="Georgia" w:hAnsi="Georgia"/>
                <w:sz w:val="18"/>
                <w:szCs w:val="18"/>
              </w:rPr>
              <w:t xml:space="preserve">Social resilience and adaptive capacity are closely tied to long-term recovery — not just immediate response.</w:t>
            </w:r>
          </w:p>
        </w:tc>
      </w:tr>
    </w:tbl>
    <w:p>
      <w:pPr>
        <w:spacing w:after="100" w:before="100"/>
      </w:pPr>
      <w:r>
        <w:t xml:space="preserve"/>
      </w:r>
    </w:p>
    <w:p>
      <w:pPr>
        <w:pStyle w:val="Heading1"/>
        <w:spacing w:after="120" w:before="400"/>
      </w:pPr>
      <w:r>
        <w:rPr>
          <w:rFonts w:ascii="Arial" w:cs="Arial" w:eastAsia="Arial" w:hAnsi="Arial"/>
          <w:b/>
          <w:bCs/>
          <w:color w:val="9C3B1E"/>
          <w:sz w:val="32"/>
          <w:szCs w:val="32"/>
        </w:rPr>
        <w:t xml:space="preserve">V. Surveillance Infrastructure &amp; Civil Liberties</w:t>
      </w:r>
    </w:p>
    <w:p>
      <w:pPr>
        <w:spacing w:after="60" w:before="60"/>
      </w:pPr>
      <w:r>
        <w:rPr>
          <w:rFonts w:ascii="Georgia" w:cs="Georgia" w:eastAsia="Georgia" w:hAnsi="Georgia"/>
          <w:i/>
          <w:iCs/>
          <w:color w:val="374151"/>
          <w:sz w:val="20"/>
          <w:szCs w:val="20"/>
        </w:rPr>
        <w:t xml:space="preserve">Research and civil liberties analysis grounding the surveillance burden map (T3-I01) and ALPR density signal.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8F3DC" w:val="clear"/>
            <w:tcMar>
              <w:top w:type="dxa" w:w="100"/>
              <w:left w:type="dxa" w:w="150"/>
              <w:bottom w:type="dxa" w:w="60"/>
              <w:right w:type="dxa" w:w="150"/>
            </w:tcMar>
          </w:tcPr>
          <w:p>
            <w:pPr>
              <w:spacing w:after="40" w:before="0"/>
            </w:pPr>
            <w:hyperlink w:history="1" r:id="rId2b6nvgcw9vmvzpx12v4rh">
              <w:r>
                <w:rPr>
                  <w:rFonts w:ascii="Arial" w:cs="Arial" w:eastAsia="Arial" w:hAnsi="Arial"/>
                  <w:b/>
                  <w:bCs/>
                  <w:color w:val="1E3A5F"/>
                  <w:sz w:val="21"/>
                  <w:szCs w:val="21"/>
                  <w:u w:val="single"/>
                </w:rPr>
                <w:t xml:space="preserve">Automated License Plate Readers (Street-Level Surveillance)</w:t>
              </w:r>
            </w:hyperlink>
          </w:p>
          <w:p>
            <w:pPr>
              <w:spacing w:after="0" w:before="0"/>
            </w:pPr>
            <w:r>
              <w:rPr>
                <w:rFonts w:ascii="Georgia" w:cs="Georgia" w:eastAsia="Georgia" w:hAnsi="Georgia"/>
                <w:i/>
                <w:iCs/>
                <w:color w:val="374151"/>
                <w:sz w:val="18"/>
                <w:szCs w:val="18"/>
              </w:rPr>
              <w:t xml:space="preserve">Electronic Frontier Foundation · 2024 · EFF Street-Level Surveillance Series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2D6A4F"/>
                <w:sz w:val="17"/>
                <w:szCs w:val="17"/>
              </w:rPr>
              <w:t xml:space="preserve">DOCUMENTED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T3-I01 ALPR surveillance density; DeFlock data framing</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ALPR data obtained from Oakland PD showed disproportionate deployment in low-income communities and communities of color — not evenly distributed.</w:t>
            </w:r>
          </w:p>
          <w:p>
            <w:pPr>
              <w:pStyle w:val="ListParagraph"/>
              <w:numPr>
                <w:ilvl w:val="0"/>
                <w:numId w:val="2"/>
              </w:numPr>
              <w:spacing w:after="20" w:before="20"/>
            </w:pPr>
            <w:r>
              <w:rPr>
                <w:rFonts w:ascii="Georgia" w:cs="Georgia" w:eastAsia="Georgia" w:hAnsi="Georgia"/>
                <w:sz w:val="18"/>
                <w:szCs w:val="18"/>
              </w:rPr>
              <w:t xml:space="preserve">ALPR data is retained for years and shared broadly across thousands of agencies with no consistent federal regulation — creating chronic surveillance, not just incident response.</w:t>
            </w:r>
          </w:p>
          <w:p>
            <w:pPr>
              <w:pStyle w:val="ListParagraph"/>
              <w:numPr>
                <w:ilvl w:val="0"/>
                <w:numId w:val="2"/>
              </w:numPr>
              <w:spacing w:after="20" w:before="20"/>
            </w:pPr>
            <w:r>
              <w:rPr>
                <w:rFonts w:ascii="Georgia" w:cs="Georgia" w:eastAsia="Georgia" w:hAnsi="Georgia"/>
                <w:sz w:val="18"/>
                <w:szCs w:val="18"/>
              </w:rPr>
              <w:t xml:space="preserve">Police have used ALPRs to 'grid' neighborhoods (systematically driving every block), targeting mosques and political rallies — symmetric-information framing is empirically justified.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8F3DC" w:val="clear"/>
            <w:tcMar>
              <w:top w:type="dxa" w:w="100"/>
              <w:left w:type="dxa" w:w="150"/>
              <w:bottom w:type="dxa" w:w="60"/>
              <w:right w:type="dxa" w:w="150"/>
            </w:tcMar>
          </w:tcPr>
          <w:p>
            <w:pPr>
              <w:spacing w:after="40" w:before="0"/>
            </w:pPr>
            <w:hyperlink w:history="1" r:id="rIdkh_hkcbsg-74utj9pbc4x">
              <w:r>
                <w:rPr>
                  <w:rFonts w:ascii="Arial" w:cs="Arial" w:eastAsia="Arial" w:hAnsi="Arial"/>
                  <w:b/>
                  <w:bCs/>
                  <w:color w:val="1E3A5F"/>
                  <w:sz w:val="21"/>
                  <w:szCs w:val="21"/>
                  <w:u w:val="single"/>
                </w:rPr>
                <w:t xml:space="preserve">Automatic License Plate Readers: Legal Status and Policy Recommendations</w:t>
              </w:r>
            </w:hyperlink>
          </w:p>
          <w:p>
            <w:pPr>
              <w:spacing w:after="0" w:before="0"/>
            </w:pPr>
            <w:r>
              <w:rPr>
                <w:rFonts w:ascii="Georgia" w:cs="Georgia" w:eastAsia="Georgia" w:hAnsi="Georgia"/>
                <w:i/>
                <w:iCs/>
                <w:color w:val="374151"/>
                <w:sz w:val="18"/>
                <w:szCs w:val="18"/>
              </w:rPr>
              <w:t xml:space="preserve">Diaz, A. &amp; Levinson-Waldman, R. · 2020 · Brennan Center for Justice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2D6A4F"/>
                <w:sz w:val="17"/>
                <w:szCs w:val="17"/>
              </w:rPr>
              <w:t xml:space="preserve">DOCUMENTED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ALPR disparate deployment; surveillance burden map layer validation</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In Oakland, CA, ALPR cameras were concentrated in Black and Latino neighborhoods despite automobile crimes occurring predominantly elsewhere — documents the disparate deployment pattern.</w:t>
            </w:r>
          </w:p>
          <w:p>
            <w:pPr>
              <w:pStyle w:val="ListParagraph"/>
              <w:numPr>
                <w:ilvl w:val="0"/>
                <w:numId w:val="2"/>
              </w:numPr>
              <w:spacing w:after="20" w:before="20"/>
            </w:pPr>
            <w:r>
              <w:rPr>
                <w:rFonts w:ascii="Georgia" w:cs="Georgia" w:eastAsia="Georgia" w:hAnsi="Georgia"/>
                <w:sz w:val="18"/>
                <w:szCs w:val="18"/>
              </w:rPr>
              <w:t xml:space="preserve">NYPD used ALPRs in widespread surveillance of Muslim communities — political and religious targeting is a documented ALPR misuse pattern.</w:t>
            </w:r>
          </w:p>
          <w:p>
            <w:pPr>
              <w:pStyle w:val="ListParagraph"/>
              <w:numPr>
                <w:ilvl w:val="0"/>
                <w:numId w:val="2"/>
              </w:numPr>
              <w:spacing w:after="20" w:before="20"/>
            </w:pPr>
            <w:r>
              <w:rPr>
                <w:rFonts w:ascii="Georgia" w:cs="Georgia" w:eastAsia="Georgia" w:hAnsi="Georgia"/>
                <w:sz w:val="18"/>
                <w:szCs w:val="18"/>
              </w:rPr>
              <w:t xml:space="preserve">Calls for placement restrictions specifically to prevent disproportionate deployment in low-income communities and communities of color — CommonGround's alerting directly serves this goal.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50"/>
              <w:bottom w:type="dxa" w:w="60"/>
              <w:right w:type="dxa" w:w="150"/>
            </w:tcMar>
          </w:tcPr>
          <w:p>
            <w:pPr>
              <w:spacing w:after="40" w:before="0"/>
            </w:pPr>
            <w:hyperlink w:history="1" r:id="rIdvopg85vgkp4brp5fcfhz6">
              <w:r>
                <w:rPr>
                  <w:rFonts w:ascii="Arial" w:cs="Arial" w:eastAsia="Arial" w:hAnsi="Arial"/>
                  <w:b/>
                  <w:bCs/>
                  <w:color w:val="1E3A5F"/>
                  <w:sz w:val="21"/>
                  <w:szCs w:val="21"/>
                  <w:u w:val="single"/>
                </w:rPr>
                <w:t xml:space="preserve">Discrimination on Wheels: How Big Data Uses License Plate Surveillance to Put the Brakes on Disadvantaged Drivers</w:t>
              </w:r>
            </w:hyperlink>
          </w:p>
          <w:p>
            <w:pPr>
              <w:spacing w:after="0" w:before="0"/>
            </w:pPr>
            <w:r>
              <w:rPr>
                <w:rFonts w:ascii="Georgia" w:cs="Georgia" w:eastAsia="Georgia" w:hAnsi="Georgia"/>
                <w:i/>
                <w:iCs/>
                <w:color w:val="374151"/>
                <w:sz w:val="18"/>
                <w:szCs w:val="18"/>
              </w:rPr>
              <w:t xml:space="preserve">McConlogue, N.K. · 2021 · Stanford Technology Law Review 18</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1E3A5F"/>
                <w:sz w:val="17"/>
                <w:szCs w:val="17"/>
              </w:rPr>
              <w:t xml:space="preserve">MECHANISM</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Commercial ALPR use; neighborhood-level surveillance harm</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ALPR data is being sold to auto financers and insurers as a consumer scoring input — neighborhood location visited becomes a proxy for creditworthiness, repackaging redlining.</w:t>
            </w:r>
          </w:p>
          <w:p>
            <w:pPr>
              <w:pStyle w:val="ListParagraph"/>
              <w:numPr>
                <w:ilvl w:val="0"/>
                <w:numId w:val="2"/>
              </w:numPr>
              <w:spacing w:after="20" w:before="20"/>
            </w:pPr>
            <w:r>
              <w:rPr>
                <w:rFonts w:ascii="Georgia" w:cs="Georgia" w:eastAsia="Georgia" w:hAnsi="Georgia"/>
                <w:sz w:val="18"/>
                <w:szCs w:val="18"/>
              </w:rPr>
              <w:t xml:space="preserve">Using location data for risk assessment means automobile costs may be based on which neighborhoods consumers visit — directly harming residents of high-SVI areas.</w:t>
            </w:r>
          </w:p>
          <w:p>
            <w:pPr>
              <w:pStyle w:val="ListParagraph"/>
              <w:numPr>
                <w:ilvl w:val="0"/>
                <w:numId w:val="2"/>
              </w:numPr>
              <w:spacing w:after="20" w:before="20"/>
            </w:pPr>
            <w:r>
              <w:rPr>
                <w:rFonts w:ascii="Georgia" w:cs="Georgia" w:eastAsia="Georgia" w:hAnsi="Georgia"/>
                <w:sz w:val="18"/>
                <w:szCs w:val="18"/>
              </w:rPr>
              <w:t xml:space="preserve">This commercial ALPR use is entirely separate from law enforcement — CommonGround's T3-I01 alert makes existing infrastructure visible to communities bearing this burden.</w:t>
            </w:r>
          </w:p>
        </w:tc>
      </w:tr>
    </w:tbl>
    <w:p>
      <w:pPr>
        <w:spacing w:after="100" w:before="100"/>
      </w:pPr>
      <w:r>
        <w:t xml:space="preserve"/>
      </w:r>
    </w:p>
    <w:p>
      <w:pPr>
        <w:pStyle w:val="Heading1"/>
        <w:spacing w:after="120" w:before="400"/>
      </w:pPr>
      <w:r>
        <w:rPr>
          <w:rFonts w:ascii="Arial" w:cs="Arial" w:eastAsia="Arial" w:hAnsi="Arial"/>
          <w:b/>
          <w:bCs/>
          <w:color w:val="374151"/>
          <w:sz w:val="32"/>
          <w:szCs w:val="32"/>
        </w:rPr>
        <w:t xml:space="preserve">VI. Methodological &amp; Epistemic Foundations</w:t>
      </w:r>
    </w:p>
    <w:p>
      <w:pPr>
        <w:spacing w:after="60" w:before="60"/>
      </w:pPr>
      <w:r>
        <w:rPr>
          <w:rFonts w:ascii="Georgia" w:cs="Georgia" w:eastAsia="Georgia" w:hAnsi="Georgia"/>
          <w:i/>
          <w:iCs/>
          <w:color w:val="374151"/>
          <w:sz w:val="20"/>
          <w:szCs w:val="20"/>
        </w:rPr>
        <w:t xml:space="preserve">Research on data methodology, claim-type precision, and the epistemics of community intelligence tools — directly grounding CommonGround's Guiding Principles Section V.</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BEAFE" w:val="clear"/>
            <w:tcMar>
              <w:top w:type="dxa" w:w="100"/>
              <w:left w:type="dxa" w:w="150"/>
              <w:bottom w:type="dxa" w:w="60"/>
              <w:right w:type="dxa" w:w="150"/>
            </w:tcMar>
          </w:tcPr>
          <w:p>
            <w:pPr>
              <w:spacing w:after="40" w:before="0"/>
            </w:pPr>
            <w:hyperlink w:history="1" r:id="rIdwhe1rzrdgiou3dpjtlrqy">
              <w:r>
                <w:rPr>
                  <w:rFonts w:ascii="Arial" w:cs="Arial" w:eastAsia="Arial" w:hAnsi="Arial"/>
                  <w:b/>
                  <w:bCs/>
                  <w:color w:val="1E3A5F"/>
                  <w:sz w:val="21"/>
                  <w:szCs w:val="21"/>
                  <w:u w:val="single"/>
                </w:rPr>
                <w:t xml:space="preserve">Cumulative Environmental Vulnerability Assessment (CEVA): Combining Hazard and Social Vulnerability</w:t>
              </w:r>
            </w:hyperlink>
          </w:p>
          <w:p>
            <w:pPr>
              <w:spacing w:after="0" w:before="0"/>
            </w:pPr>
            <w:r>
              <w:rPr>
                <w:rFonts w:ascii="Georgia" w:cs="Georgia" w:eastAsia="Georgia" w:hAnsi="Georgia"/>
                <w:i/>
                <w:iCs/>
                <w:color w:val="374151"/>
                <w:sz w:val="18"/>
                <w:szCs w:val="18"/>
              </w:rPr>
              <w:t xml:space="preserve">Huang, G., et al. · 2012 · PMC / Environmental Health Perspectives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1E3A5F"/>
                <w:sz w:val="17"/>
                <w:szCs w:val="17"/>
              </w:rPr>
              <w:t xml:space="preserve">MECHANISM</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Cross-layer signal methodology; composite vulnerability scoring approach</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Multi-indicator composite indices combining pollution burden + social vulnerability (as CommonGround does with EJScreen + SVI) are standard and well-validated in the EJ literature.</w:t>
            </w:r>
          </w:p>
          <w:p>
            <w:pPr>
              <w:pStyle w:val="ListParagraph"/>
              <w:numPr>
                <w:ilvl w:val="0"/>
                <w:numId w:val="2"/>
              </w:numPr>
              <w:spacing w:after="20" w:before="20"/>
            </w:pPr>
            <w:r>
              <w:rPr>
                <w:rFonts w:ascii="Georgia" w:cs="Georgia" w:eastAsia="Georgia" w:hAnsi="Georgia"/>
                <w:sz w:val="18"/>
                <w:szCs w:val="18"/>
              </w:rPr>
              <w:t xml:space="preserve">Foundational paper establishing that the 1-mile buffer for environmental hazard proximity is both standard and appropriate for community-scale screening.</w:t>
            </w:r>
          </w:p>
          <w:p>
            <w:pPr>
              <w:pStyle w:val="ListParagraph"/>
              <w:numPr>
                <w:ilvl w:val="0"/>
                <w:numId w:val="2"/>
              </w:numPr>
              <w:spacing w:after="20" w:before="20"/>
            </w:pPr>
            <w:r>
              <w:rPr>
                <w:rFonts w:ascii="Georgia" w:cs="Georgia" w:eastAsia="Georgia" w:hAnsi="Georgia"/>
                <w:sz w:val="18"/>
                <w:szCs w:val="18"/>
              </w:rPr>
              <w:t xml:space="preserve">Cross-layer composite indices are understood to be under-estimates — CommonGround should flag that its scores likely understate actual burden.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FEF3C7" w:val="clear"/>
            <w:tcMar>
              <w:top w:type="dxa" w:w="100"/>
              <w:left w:type="dxa" w:w="150"/>
              <w:bottom w:type="dxa" w:w="60"/>
              <w:right w:type="dxa" w:w="150"/>
            </w:tcMar>
          </w:tcPr>
          <w:p>
            <w:pPr>
              <w:spacing w:after="40" w:before="0"/>
            </w:pPr>
            <w:hyperlink w:history="1" r:id="rIdjyzefh-xr2aq2d0fsbnsh">
              <w:r>
                <w:rPr>
                  <w:rFonts w:ascii="Arial" w:cs="Arial" w:eastAsia="Arial" w:hAnsi="Arial"/>
                  <w:b/>
                  <w:bCs/>
                  <w:color w:val="1E3A5F"/>
                  <w:sz w:val="21"/>
                  <w:szCs w:val="21"/>
                  <w:u w:val="single"/>
                </w:rPr>
                <w:t xml:space="preserve">Measuring Displacement: Assessing Proxies for Involuntary Residential Mobility</w:t>
              </w:r>
            </w:hyperlink>
          </w:p>
          <w:p>
            <w:pPr>
              <w:spacing w:after="0" w:before="0"/>
            </w:pPr>
            <w:r>
              <w:rPr>
                <w:rFonts w:ascii="Georgia" w:cs="Georgia" w:eastAsia="Georgia" w:hAnsi="Georgia"/>
                <w:i/>
                <w:iCs/>
                <w:color w:val="374151"/>
                <w:sz w:val="18"/>
                <w:szCs w:val="18"/>
              </w:rPr>
              <w:t xml:space="preserve">Carlson, J.H. · 2020 · City &amp; Community 19</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B7791F"/>
                <w:sz w:val="17"/>
                <w:szCs w:val="17"/>
              </w:rPr>
              <w:t xml:space="preserve">CORRELATION</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Displacement measurement methodology; epistemic standards for alert design</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Most quantitative displacement research uses indirect proxies (population churn, racial composition change) rather than direct displacement measures.</w:t>
            </w:r>
          </w:p>
          <w:p>
            <w:pPr>
              <w:pStyle w:val="ListParagraph"/>
              <w:numPr>
                <w:ilvl w:val="0"/>
                <w:numId w:val="2"/>
              </w:numPr>
              <w:spacing w:after="20" w:before="20"/>
            </w:pPr>
            <w:r>
              <w:rPr>
                <w:rFonts w:ascii="Georgia" w:cs="Georgia" w:eastAsia="Georgia" w:hAnsi="Georgia"/>
                <w:sz w:val="18"/>
                <w:szCs w:val="18"/>
              </w:rPr>
              <w:t xml:space="preserve">Eviction filing records are the closest available proxy to direct forced removal — supporting Eviction Lab as CommonGround's primary housing signal source.</w:t>
            </w:r>
          </w:p>
          <w:p>
            <w:pPr>
              <w:pStyle w:val="ListParagraph"/>
              <w:numPr>
                <w:ilvl w:val="0"/>
                <w:numId w:val="2"/>
              </w:numPr>
              <w:spacing w:after="20" w:before="20"/>
            </w:pPr>
            <w:r>
              <w:rPr>
                <w:rFonts w:ascii="Georgia" w:cs="Georgia" w:eastAsia="Georgia" w:hAnsi="Georgia"/>
                <w:sz w:val="18"/>
                <w:szCs w:val="18"/>
              </w:rPr>
              <w:t xml:space="preserve">Methodological transparency about proxy limitations is essential for epistemic honesty in displacement alerting.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8F3DC" w:val="clear"/>
            <w:tcMar>
              <w:top w:type="dxa" w:w="100"/>
              <w:left w:type="dxa" w:w="150"/>
              <w:bottom w:type="dxa" w:w="60"/>
              <w:right w:type="dxa" w:w="150"/>
            </w:tcMar>
          </w:tcPr>
          <w:p>
            <w:pPr>
              <w:spacing w:after="40" w:before="0"/>
            </w:pPr>
            <w:hyperlink w:history="1" r:id="rIdlxbn1mimic4xxjtzsgtat">
              <w:r>
                <w:rPr>
                  <w:rFonts w:ascii="Arial" w:cs="Arial" w:eastAsia="Arial" w:hAnsi="Arial"/>
                  <w:b/>
                  <w:bCs/>
                  <w:color w:val="1E3A5F"/>
                  <w:sz w:val="21"/>
                  <w:szCs w:val="21"/>
                  <w:u w:val="single"/>
                </w:rPr>
                <w:t xml:space="preserve">Environmental Justice Index (EJI) Community Engagement Report</w:t>
              </w:r>
            </w:hyperlink>
          </w:p>
          <w:p>
            <w:pPr>
              <w:spacing w:after="0" w:before="0"/>
            </w:pPr>
            <w:r>
              <w:rPr>
                <w:rFonts w:ascii="Georgia" w:cs="Georgia" w:eastAsia="Georgia" w:hAnsi="Georgia"/>
                <w:i/>
                <w:iCs/>
                <w:color w:val="374151"/>
                <w:sz w:val="18"/>
                <w:szCs w:val="18"/>
              </w:rPr>
              <w:t xml:space="preserve">CDC / ATSDR · 2024 · CDC/ATSDR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2D6A4F"/>
                <w:sz w:val="17"/>
                <w:szCs w:val="17"/>
              </w:rPr>
              <w:t xml:space="preserve">DOCUMENTED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EJScreen vs. SVI vs. EJI methodology; data source comparison for CommonGround</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EJScreen, SVI, EJI, and CEJST each have distinct intended uses: EJScreen for comparison/screening, SVI for disaster management, EJI for cumulative health burden.</w:t>
            </w:r>
          </w:p>
          <w:p>
            <w:pPr>
              <w:pStyle w:val="ListParagraph"/>
              <w:numPr>
                <w:ilvl w:val="0"/>
                <w:numId w:val="2"/>
              </w:numPr>
              <w:spacing w:after="20" w:before="20"/>
            </w:pPr>
            <w:r>
              <w:rPr>
                <w:rFonts w:ascii="Georgia" w:cs="Georgia" w:eastAsia="Georgia" w:hAnsi="Georgia"/>
                <w:sz w:val="18"/>
                <w:szCs w:val="18"/>
              </w:rPr>
              <w:t xml:space="preserve">Community members can use the EJI to point to specific environmental burdens affecting health — explicitly designed for community advocacy, not just institutional use.</w:t>
            </w:r>
          </w:p>
          <w:p>
            <w:pPr>
              <w:pStyle w:val="ListParagraph"/>
              <w:numPr>
                <w:ilvl w:val="0"/>
                <w:numId w:val="2"/>
              </w:numPr>
              <w:spacing w:after="20" w:before="20"/>
            </w:pPr>
            <w:r>
              <w:rPr>
                <w:rFonts w:ascii="Georgia" w:cs="Georgia" w:eastAsia="Georgia" w:hAnsi="Georgia"/>
                <w:sz w:val="18"/>
                <w:szCs w:val="18"/>
              </w:rPr>
              <w:t xml:space="preserve">Wisconsin tracks overall EJI at the census tract level — directly applicable to Green Bay / Brown County deployment.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600"/>
        <w:gridCol w:w="7760"/>
      </w:tblGrid>
      <w:tr>
        <w:tc>
          <w:tcPr>
            <w:tcW w:type="dxa" w:w="9360"/>
            <w:gridSpan w:val="2"/>
            <w:tcBorders>
              <w:top w:val="single" w:color="DDDDDD" w:sz="1"/>
              <w:left w:val="single" w:color="DDDDDD" w:sz="1"/>
              <w:bottom w:val="single" w:color="DDDDDD" w:sz="1"/>
              <w:right w:val="single" w:color="DDDDDD" w:sz="1"/>
            </w:tcBorders>
            <w:shd w:fill="D8F3DC" w:val="clear"/>
            <w:tcMar>
              <w:top w:type="dxa" w:w="100"/>
              <w:left w:type="dxa" w:w="150"/>
              <w:bottom w:type="dxa" w:w="60"/>
              <w:right w:type="dxa" w:w="150"/>
            </w:tcMar>
          </w:tcPr>
          <w:p>
            <w:pPr>
              <w:spacing w:after="40" w:before="0"/>
            </w:pPr>
            <w:hyperlink w:history="1" r:id="rIdqijo0pbpubhmmzk8ws25a">
              <w:r>
                <w:rPr>
                  <w:rFonts w:ascii="Arial" w:cs="Arial" w:eastAsia="Arial" w:hAnsi="Arial"/>
                  <w:b/>
                  <w:bCs/>
                  <w:color w:val="1E3A5F"/>
                  <w:sz w:val="21"/>
                  <w:szCs w:val="21"/>
                  <w:u w:val="single"/>
                </w:rPr>
                <w:t xml:space="preserve">Wisconsin Environmental Justice Tracking (Wisconsin DHS)</w:t>
              </w:r>
            </w:hyperlink>
          </w:p>
          <w:p>
            <w:pPr>
              <w:spacing w:after="0" w:before="0"/>
            </w:pPr>
            <w:r>
              <w:rPr>
                <w:rFonts w:ascii="Georgia" w:cs="Georgia" w:eastAsia="Georgia" w:hAnsi="Georgia"/>
                <w:i/>
                <w:iCs/>
                <w:color w:val="374151"/>
                <w:sz w:val="18"/>
                <w:szCs w:val="18"/>
              </w:rPr>
              <w:t xml:space="preserve">Wisconsin Department of Health Services · 2024 · Wisconsin DHS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00"/>
            </w:tcMar>
            <w:vAlign w:val="center"/>
          </w:tcPr>
          <w:p>
            <w:pPr>
              <w:spacing w:after="0" w:before="0"/>
            </w:pPr>
            <w:r>
              <w:rPr>
                <w:rFonts w:ascii="Arial" w:cs="Arial" w:eastAsia="Arial" w:hAnsi="Arial"/>
                <w:b/>
                <w:bCs/>
                <w:color w:val="2D6A4F"/>
                <w:sz w:val="17"/>
                <w:szCs w:val="17"/>
              </w:rPr>
              <w:t xml:space="preserve">DOCUMENTED</w:t>
            </w:r>
          </w:p>
        </w:tc>
        <w:tc>
          <w:tcPr>
            <w:tcW w:type="dxa" w:w="7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50"/>
            </w:tcMar>
          </w:tcPr>
          <w:p>
            <w:pPr>
              <w:spacing w:after="0" w:before="0"/>
            </w:pPr>
            <w:r>
              <w:rPr>
                <w:rFonts w:ascii="Arial" w:cs="Arial" w:eastAsia="Arial" w:hAnsi="Arial"/>
                <w:b/>
                <w:bCs/>
                <w:color w:val="374151"/>
                <w:sz w:val="18"/>
                <w:szCs w:val="18"/>
              </w:rPr>
              <w:t xml:space="preserve">Relevant to: </w:t>
            </w:r>
            <w:r>
              <w:rPr>
                <w:rFonts w:ascii="Georgia" w:cs="Georgia" w:eastAsia="Georgia" w:hAnsi="Georgia"/>
                <w:sz w:val="18"/>
                <w:szCs w:val="18"/>
              </w:rPr>
              <w:t xml:space="preserve">Wisconsin-specific data validation; Green Bay / Brown County applicability</w:t>
            </w:r>
          </w:p>
        </w:tc>
      </w:tr>
      <w:tr>
        <w:tc>
          <w:tcPr>
            <w:tcW w:type="dxa" w:w="9360"/>
            <w:gridSpan w:val="2"/>
            <w:tcBorders>
              <w:top w:val="single" w:color="DDDDDD" w:sz="1"/>
              <w:left w:val="single" w:color="DDDDDD" w:sz="1"/>
              <w:bottom w:val="single" w:color="DDDDDD" w:sz="1"/>
              <w:right w:val="single" w:color="DDDDDD" w:sz="1"/>
            </w:tcBorders>
            <w:shd w:fill="F3F4F6" w:val="clear"/>
            <w:tcMar>
              <w:top w:type="dxa" w:w="80"/>
              <w:left w:type="dxa" w:w="150"/>
              <w:bottom w:type="dxa" w:w="100"/>
              <w:right w:type="dxa" w:w="150"/>
            </w:tcMar>
          </w:tcPr>
          <w:p>
            <w:pPr>
              <w:spacing w:after="20" w:before="0"/>
            </w:pPr>
            <w:r>
              <w:rPr>
                <w:rFonts w:ascii="Arial" w:cs="Arial" w:eastAsia="Arial" w:hAnsi="Arial"/>
                <w:b/>
                <w:bCs/>
                <w:color w:val="374151"/>
                <w:sz w:val="18"/>
                <w:szCs w:val="18"/>
              </w:rPr>
              <w:t xml:space="preserve">Key findings: </w:t>
            </w:r>
          </w:p>
          <w:p>
            <w:pPr>
              <w:pStyle w:val="ListParagraph"/>
              <w:numPr>
                <w:ilvl w:val="0"/>
                <w:numId w:val="2"/>
              </w:numPr>
              <w:spacing w:after="20" w:before="20"/>
            </w:pPr>
            <w:r>
              <w:rPr>
                <w:rFonts w:ascii="Georgia" w:cs="Georgia" w:eastAsia="Georgia" w:hAnsi="Georgia"/>
                <w:sz w:val="18"/>
                <w:szCs w:val="18"/>
              </w:rPr>
              <w:t xml:space="preserve">Wisconsin DHS tracks EJI, EQI, SVI, and climate burden at the census tract level — all sources directly applicable to CommonGround's Green Bay pilot.</w:t>
            </w:r>
          </w:p>
          <w:p>
            <w:pPr>
              <w:pStyle w:val="ListParagraph"/>
              <w:numPr>
                <w:ilvl w:val="0"/>
                <w:numId w:val="2"/>
              </w:numPr>
              <w:spacing w:after="20" w:before="20"/>
            </w:pPr>
            <w:r>
              <w:rPr>
                <w:rFonts w:ascii="Georgia" w:cs="Georgia" w:eastAsia="Georgia" w:hAnsi="Georgia"/>
                <w:sz w:val="18"/>
                <w:szCs w:val="18"/>
              </w:rPr>
              <w:t xml:space="preserve">Wisconsin Tracking makes census, EPA, and CDC data available together — a local precedent for CommonGround's cross-layer approach.</w:t>
            </w:r>
          </w:p>
          <w:p>
            <w:pPr>
              <w:pStyle w:val="ListParagraph"/>
              <w:numPr>
                <w:ilvl w:val="0"/>
                <w:numId w:val="2"/>
              </w:numPr>
              <w:spacing w:after="20" w:before="20"/>
            </w:pPr>
            <w:r>
              <w:rPr>
                <w:rFonts w:ascii="Georgia" w:cs="Georgia" w:eastAsia="Georgia" w:hAnsi="Georgia"/>
                <w:sz w:val="18"/>
                <w:szCs w:val="18"/>
              </w:rPr>
              <w:t xml:space="preserve">The SVI score for Wisconsin is publicly accessible and directly usable for T1-E01 and T2-ENV01 trigger logic.</w:t>
            </w:r>
          </w:p>
        </w:tc>
      </w:tr>
    </w:tbl>
    <w:p>
      <w:pPr>
        <w:spacing w:after="100" w:before="100"/>
      </w:pPr>
      <w:r>
        <w:t xml:space="preserve"/>
      </w:r>
    </w:p>
    <w:p>
      <w:pPr>
        <w:pBdr>
          <w:top w:val="single" w:color="52B788" w:sz="4" w:space="8"/>
        </w:pBdr>
        <w:spacing w:after="0" w:before="300"/>
      </w:pPr>
      <w:r>
        <w:rPr>
          <w:rFonts w:ascii="Georgia" w:cs="Georgia" w:eastAsia="Georgia" w:hAnsi="Georgia"/>
          <w:i/>
          <w:iCs/>
          <w:color w:val="374151"/>
          <w:sz w:val="17"/>
          <w:szCs w:val="17"/>
        </w:rPr>
        <w:t xml:space="preserve">All sources are open-access or linked to freely available versions where possible. Entries marked with ⚠ include explicit epistemic cautions for CommonGround alert design.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4332"/>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z-sl-aqzejau6hvd7rjc" Type="http://schemas.openxmlformats.org/officeDocument/2006/relationships/hyperlink" Target="https://pmc.ncbi.nlm.nih.gov/articles/PMC10789166/" TargetMode="External"/><Relationship Id="rIdbkwm-6lvugve9xqxz5_7v" Type="http://schemas.openxmlformats.org/officeDocument/2006/relationships/hyperlink" Target="https://evictionlab.org/serial-eviction-filings/" TargetMode="External"/><Relationship Id="rId4wepsqgvvte9iwaixne26" Type="http://schemas.openxmlformats.org/officeDocument/2006/relationships/hyperlink" Target="https://papers.ssrn.com/sol3/papers.cfm?abstract_id=2893552" TargetMode="External"/><Relationship Id="rIdccda4y3yyuhzf9cpwbwbq" Type="http://schemas.openxmlformats.org/officeDocument/2006/relationships/hyperlink" Target="https://journals.sagepub.com/doi/10.1177/15356841241264266" TargetMode="External"/><Relationship Id="rIdjtljhkzeomdxprjmuetda" Type="http://schemas.openxmlformats.org/officeDocument/2006/relationships/hyperlink" Target="https://ncrc.org/displaced-by-design/" TargetMode="External"/><Relationship Id="rIdqicwuhlnbomen622lyqhk" Type="http://schemas.openxmlformats.org/officeDocument/2006/relationships/hyperlink" Target="https://law.stanford.edu/wp-content/uploads/2025/07/Corporate-Tech-Landlordism-REVISED-19Aug2025.pdf" TargetMode="External"/><Relationship Id="rIdkuscks35v7m6g2aeeq5mh" Type="http://schemas.openxmlformats.org/officeDocument/2006/relationships/hyperlink" Target="https://www.brookings.edu/articles/beyond-food-deserts-america-needs-a-new-approach-to-mapping-food-insecurity/" TargetMode="External"/><Relationship Id="rId3kg60mlqigozn9mp3y_xv" Type="http://schemas.openxmlformats.org/officeDocument/2006/relationships/hyperlink" Target="https://pmc.ncbi.nlm.nih.gov/articles/PMC9785293/" TargetMode="External"/><Relationship Id="rIdaixozkupliu_bdo1gbsob" Type="http://schemas.openxmlformats.org/officeDocument/2006/relationships/hyperlink" Target="https://frac.org/wp-content/uploads/Challenges-Researching-Diets-SNAP.pdf" TargetMode="External"/><Relationship Id="rIdp51jtd19s-xb1y4gisq2q" Type="http://schemas.openxmlformats.org/officeDocument/2006/relationships/hyperlink" Target="https://www.nature.com/articles/s41467-021-22799-5" TargetMode="External"/><Relationship Id="rIdoq2qd_hdqzbhqaedfdqsj" Type="http://schemas.openxmlformats.org/officeDocument/2006/relationships/hyperlink" Target="https://agupubs.onlinelibrary.wiley.com/doi/full/10.1029/2024GH001079" TargetMode="External"/><Relationship Id="rIdp6clpctebqlmk1d4djtdw" Type="http://schemas.openxmlformats.org/officeDocument/2006/relationships/hyperlink" Target="https://academic.oup.com/pnasnexus/article/3/9/pgae360/7745573" TargetMode="External"/><Relationship Id="rId0fbgngifoyblf7yna9xlt" Type="http://schemas.openxmlformats.org/officeDocument/2006/relationships/hyperlink" Target="https://www.atsdr.cdc.gov/place-health/media/pdfs/2024/10/EJI_2024_Technical_Documentation.pdf" TargetMode="External"/><Relationship Id="rIdcm3wtrlmf-pdztq6jnkgr" Type="http://schemas.openxmlformats.org/officeDocument/2006/relationships/hyperlink" Target="https://www.oecd.org/content/dam/oecd/en/publications/reports/2024/05/environmental-justice_466cb9e2/57616eb4-en.pdf" TargetMode="External"/><Relationship Id="rIddvlhvfip8pegdgqwjgune" Type="http://schemas.openxmlformats.org/officeDocument/2006/relationships/hyperlink" Target="https://direct.mit.edu/crcj/article/doi/10.1162/crcj_a_00006/117381/Pandemic-Response-and-Mutual-Aid-as-Climate" TargetMode="External"/><Relationship Id="rIdsfir3updqrlzj8fzkh8gv" Type="http://schemas.openxmlformats.org/officeDocument/2006/relationships/hyperlink" Target="https://www.frontiersin.org/journals/environmental-science/articles/10.3389/fenvs.2024.1496813/full" TargetMode="External"/><Relationship Id="rId9jywabfvhiyvaokzdiwks" Type="http://schemas.openxmlformats.org/officeDocument/2006/relationships/hyperlink" Target="https://researchgate.net/publication/360970298_Mutual_Aid_as_Disaster_Response_in_NYC_Hurricane_Sandy_to_COVID-19" TargetMode="External"/><Relationship Id="rId2b6nvgcw9vmvzpx12v4rh" Type="http://schemas.openxmlformats.org/officeDocument/2006/relationships/hyperlink" Target="https://sls.eff.org/technologies/automated-license-plate-readers-alprs" TargetMode="External"/><Relationship Id="rIdkh_hkcbsg-74utj9pbc4x" Type="http://schemas.openxmlformats.org/officeDocument/2006/relationships/hyperlink" Target="https://www.brennancenter.org/our-work/research-reports/automatic-license-plate-readers-legal-status-and-policy-recommendations" TargetMode="External"/><Relationship Id="rIdvopg85vgkp4brp5fcfhz6" Type="http://schemas.openxmlformats.org/officeDocument/2006/relationships/hyperlink" Target="https://law.stanford.edu/publications/discrimination-on-wheels-how-big-data-uses-license-plate-surveillance-to-put-the-brakes-on-disadvantaged-drivers/" TargetMode="External"/><Relationship Id="rIdwhe1rzrdgiou3dpjtlrqy" Type="http://schemas.openxmlformats.org/officeDocument/2006/relationships/hyperlink" Target="https://pmc.ncbi.nlm.nih.gov/articles/PMC3386574/" TargetMode="External"/><Relationship Id="rIdjyzefh-xr2aq2d0fsbnsh" Type="http://schemas.openxmlformats.org/officeDocument/2006/relationships/hyperlink" Target="https://journals.sagepub.com/doi/10.1177/15356841241264266" TargetMode="External"/><Relationship Id="rIdlxbn1mimic4xxjtzsgtat" Type="http://schemas.openxmlformats.org/officeDocument/2006/relationships/hyperlink" Target="https://www.atsdr.cdc.gov/place-health/media/pdfs/2024/10/EJI-Community-Engagement-Report-508.pdf" TargetMode="External"/><Relationship Id="rIdqijo0pbpubhmmzk8ws25a" Type="http://schemas.openxmlformats.org/officeDocument/2006/relationships/hyperlink" Target="https://www.dhs.wisconsin.gov/epht/environmental-justice.htm"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2026-03-22T11:15:13.260Z</dcterms:created>
  <dcterms:modified xsi:type="dcterms:W3CDTF">2026-03-22T11:15:13.261Z</dcterms:modified>
</cp:coreProperties>
</file>

<file path=docProps/custom.xml><?xml version="1.0" encoding="utf-8"?>
<Properties xmlns="http://schemas.openxmlformats.org/officeDocument/2006/custom-properties" xmlns:vt="http://schemas.openxmlformats.org/officeDocument/2006/docPropsVTypes"/>
</file>