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rPr>
          <w:rFonts w:ascii="Courier New" w:cs="Courier New" w:eastAsia="Courier New" w:hAnsi="Courier New"/>
          <w:b/>
          <w:bCs/>
          <w:caps/>
          <w:color w:val="7FA843"/>
          <w:sz w:val="52"/>
          <w:szCs w:val="52"/>
        </w:rPr>
        <w:t xml:space="preserve">CommonGround</w:t>
      </w:r>
    </w:p>
    <w:p>
      <w:pPr>
        <w:spacing w:before="0" w:after="0"/>
      </w:pPr>
      <w:r>
        <w:rPr>
          <w:rFonts w:ascii="Georgia" w:cs="Georgia" w:eastAsia="Georgia" w:hAnsi="Georgia"/>
          <w:i/>
          <w:iCs/>
          <w:color w:val="8A9A78"/>
          <w:sz w:val="28"/>
          <w:szCs w:val="28"/>
        </w:rPr>
        <w:t xml:space="preserve">Data Source Documentation Plan</w:t>
      </w:r>
    </w:p>
    <w:p>
      <w:pPr>
        <w:pBdr>
          <w:bottom w:val="single" w:color="7FA843" w:sz="10" w:space="6"/>
        </w:pBdr>
        <w:spacing w:before="60" w:after="0"/>
      </w:pPr>
      <w:r>
        <w:rPr>
          <w:rFonts w:ascii="Courier New" w:cs="Courier New" w:eastAsia="Courier New" w:hAnsi="Courier New"/>
          <w:color w:val="E8861A"/>
          <w:sz w:val="18"/>
          <w:szCs w:val="18"/>
        </w:rPr>
        <w:t xml:space="preserve">v0.1  ·  March 2026</w:t>
      </w:r>
    </w:p>
    <w:p>
      <w:pPr>
        <w:spacing w:before="200" w:after="0"/>
      </w:pPr>
      <w:r>
        <w:t xml:space="preserve"/>
      </w:r>
    </w:p>
    <w:p>
      <w:pPr>
        <w:spacing w:before="0" w:after="140"/>
      </w:pPr>
      <w:r>
        <w:rPr>
          <w:rFonts w:ascii="Georgia" w:cs="Georgia" w:eastAsia="Georgia" w:hAnsi="Georgia"/>
          <w:i/>
          <w:iCs/>
          <w:color w:val="8A9A78"/>
          <w:sz w:val="24"/>
          <w:szCs w:val="24"/>
        </w:rPr>
        <w:t xml:space="preserve">This document defines every planned data source for CommonGround. Each source is evaluated against the Weaponization Test from the Guiding Principles. Trust ratings use a 5-point scale: (1) unverified self-report, (2) community-verified, (3) institutional open data, (4) government primary source, (5) government primary source with independent verification. All sources are public. No proprietary data is used.</w:t>
      </w:r>
    </w:p>
    <w:p>
      <w:pPr>
        <w:pStyle w:val="Heading1"/>
      </w:pPr>
      <w:r>
        <w:t xml:space="preserve">Housing &amp; Displacement</w:t>
      </w:r>
    </w:p>
    <w:p>
      <w:pPr>
        <w:pStyle w:val="Heading2"/>
      </w:pPr>
      <w:r>
        <w:t xml:space="preserve">Eviction Lab — County Filing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evictionlab.org/data · API available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CC BY-NC 4.0</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US counties; Brown County, WI included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Quarterly updates; some counties near-real-time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CSV, JSON API</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4/5 — Academic primary source, Princeton University</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Census tract and zip code minimum</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 — aggregate filing counts do not identify individuals; landlords already have this data</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Never surface plaintiff names or individual case numbers in UI</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Eviction filing rates by geography and time period. Core signal for displacement pressure. Cross-reference with property ownership data to detect serial filers.</w:t>
      </w:r>
    </w:p>
    <w:p>
      <w:pPr>
        <w:pStyle w:val="Heading2"/>
      </w:pPr>
      <w:r>
        <w:t xml:space="preserve">Wisconsin CCAP — Circuit Court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wcca.wicourts.gov · Public web interface; no bulk API</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record; scraping governed by WI open records law</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All Wisconsin counties including Brown County</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Near real-time (24–48hr lag)</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Web scrape required; structure HTML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5/5 — Official state court system</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by plaintiff, zip, tract. Never individual defendant display.</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MEDIUM — plaintiff (landlord) names are useful accountability data; individual defendant data must never surface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Scrape and aggregate plaintiff patterns only. Defendants are never stored or displayed. Legal review required before launch.</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2 — requires legal review</w:t>
            </w:r>
          </w:p>
        </w:tc>
      </w:tr>
    </w:tbl>
    <w:p>
      <w:pPr>
        <w:spacing w:before="100" w:after="200"/>
      </w:pPr>
      <w:r>
        <w:rPr>
          <w:rFonts w:ascii="Georgia" w:cs="Georgia" w:eastAsia="Georgia" w:hAnsi="Georgia"/>
          <w:color w:val="2D2A22"/>
          <w:sz w:val="24"/>
          <w:szCs w:val="24"/>
        </w:rPr>
        <w:t xml:space="preserve">Wisconsin's public court access system. Enables identification of serial eviction filers — a key early warning signal for mass displacement events. Plaintiff name aggregation is a public accountability function.</w:t>
      </w:r>
    </w:p>
    <w:p>
      <w:pPr>
        <w:pStyle w:val="Heading2"/>
      </w:pPr>
      <w:r>
        <w:t xml:space="preserve">HUD CHAS — Housing Affordability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huduser.gov/portal/datasets/cp.html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domain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National; census tract level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Annual (ACS-based, ~2yr lag)</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CSV</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4/5 — Federal primary source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Census tract</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 — aggregate only, no individual data</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None required beyond standard aggregate display</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Comprehensive Housing Affordability Strategy data. Cost burden percentages, overcrowding rates, substandard housing by income level and tenure. Baseline layer for housing vulnerability mapping.</w:t>
      </w:r>
    </w:p>
    <w:p>
      <w:pPr>
        <w:pStyle w:val="Heading2"/>
      </w:pPr>
      <w:r>
        <w:t xml:space="preserve">Brown County Assessor — Property Tax Delinquency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browncountywi.gov/departments/land-information · Public records</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Wisconsin public records — open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Brown County parcels</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Quarterly</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CSV download or records request</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4/5 — County primary source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Parcel-level source; display at block group minimum</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LOW-MEDIUM — delinquency patterns useful for community awareness; individual parcel display could stigmatize owners facing hardship</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Display as density/heat only. Never display individual parcel status in UI.</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Property tax delinquency signals financial stress in a neighborhood and can precede foreclosure and displacement. Aggregate patterns identify blocks under pressure before eviction filings begin.</w:t>
      </w:r>
    </w:p>
    <w:p>
      <w:pPr>
        <w:pStyle w:val="Heading2"/>
      </w:pPr>
      <w:r>
        <w:t xml:space="preserve">Green Bay Building Permits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greenbaywi.gov/permits · Public records portal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record</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City of Green Bay</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Weekly</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Web scrape or records request</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4/5 — Municipal primary source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Address-level source; display at block group minimum</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 — permit data is proactively published; renovation permit spikes in affordable neighborhoods are a documented early gentrification signal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to block group for display. Flag concentration patterns, not individual addresses.</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Building permit applications and approvals. Renovation permit spikes in historically affordable areas are an early indicator of speculative investment pressure.</w:t>
      </w:r>
    </w:p>
    <w:p>
      <w:pPr>
        <w:pStyle w:val="Heading1"/>
      </w:pPr>
      <w:r>
        <w:t xml:space="preserve">Food Access &amp; Security</w:t>
      </w:r>
    </w:p>
    <w:p>
      <w:pPr>
        <w:pStyle w:val="Heading2"/>
      </w:pPr>
      <w:r>
        <w:t xml:space="preserve">USDA Food Access Research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ers.usda.gov/data-products/food-access-research-atlas</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domain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National; census tract level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Every 5 years (2019 most recent; 2024 pending)</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CSV, shapefile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4/5 — Federal primary source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Census tract</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 — aggregate designation data, no individual records</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None required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Defines food desert census tracts based on supermarket access and income thresholds. Baseline layer for food access mapping. Note significant lag — supplement with 211 live data.</w:t>
      </w:r>
    </w:p>
    <w:p>
      <w:pPr>
        <w:pStyle w:val="Heading2"/>
      </w:pPr>
      <w:r>
        <w:t xml:space="preserve">211 Wisconsin — Social Services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211wisconsin.communityos.org · API available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API terms of service; data is public-interest</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Wisconsin statewide; strong Brown County coverage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Near real-time (provider-updated)</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REST API, JSON</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3/5 — Institutional directory; accuracy depends on provider updates</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Location-level (food pantry addresses are already public)</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 — service locations are published to help people find them</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Verify operational status before display; flag last-confirmed date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Live directory of social services including food pantries, meal programs, SNAP assistance sites. Critical for the community asset layer. Pair with self-reported status updates from mutual aid groups.</w:t>
      </w:r>
    </w:p>
    <w:p>
      <w:pPr>
        <w:pStyle w:val="Heading2"/>
      </w:pPr>
      <w:r>
        <w:t xml:space="preserve">SNAP Retailer Locator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fns.usda.gov/snap/retailer-locator · Bulk download available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domain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National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Monthly</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CSV</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4/5 — Federal primary source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Address-level (retail locations are public)</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None required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All SNAP-authorized retailers. Combined with USDA atlas, enables identification of areas where official food access has declined (retailer authorization lapses, store closures).</w:t>
      </w:r>
    </w:p>
    <w:p>
      <w:pPr>
        <w:pStyle w:val="Heading1"/>
      </w:pPr>
      <w:r>
        <w:t xml:space="preserve">Environmental &amp; Health</w:t>
      </w:r>
    </w:p>
    <w:p>
      <w:pPr>
        <w:pStyle w:val="Heading2"/>
      </w:pPr>
      <w:r>
        <w:t xml:space="preserve">EPA AirNow — Real-Time AQI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airnowapi.org · Free API with registration</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domain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National monitoring station network</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Hourly</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REST API, JSON</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5/5 — Federal monitoring network</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Station-level (already public infrastructure)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 — air quality is symmetric information; benefits everyone equally</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Include wind direction overlay for full situational picture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Real-time air quality index by pollutant. Critical for outdoor event safety planning and for chronic environmental burden mapping. Wind direction overlay enables tear gas dispersion modeling for assembly safety.</w:t>
      </w:r>
    </w:p>
    <w:p>
      <w:pPr>
        <w:pStyle w:val="Heading2"/>
      </w:pPr>
      <w:r>
        <w:t xml:space="preserve">EPA EJScreen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ejscreen.epa.gov · Bulk download and API</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domain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National; block group level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Annual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CSV, REST API</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5/5 — Federal environmental justice tool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Block group</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 — designed specifically for community environmental justice use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None required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EPA's environmental justice screening tool. Composite scores combining pollution burden (air, water, waste sites, traffic) with demographic vulnerability. One of the most powerful single layers for identifying structural harm.</w:t>
      </w:r>
    </w:p>
    <w:p>
      <w:pPr>
        <w:pStyle w:val="Heading2"/>
      </w:pPr>
      <w:r>
        <w:t xml:space="preserve">CDC Social Vulnerability Index (SVI)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atsdr.cdc.gov/placeandhealth/svi · Download portal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domain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National; census tract level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Every 2 years</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CSV, shapefile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5/5 — Federal primary source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Census tract</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None required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Composite vulnerability index across 16 social factors grouped into four themes: socioeconomic status, household composition, minority status/language, housing/transportation. Essential for crisis response prioritization.</w:t>
      </w:r>
    </w:p>
    <w:p>
      <w:pPr>
        <w:pStyle w:val="Heading2"/>
      </w:pPr>
      <w:r>
        <w:t xml:space="preserve">HRSA — Federally Qualified Health Centers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data.hrsa.gov/tools/shortage-area · API available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domain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National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Annual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CSV, API</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4/5 — Federal primary source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Location-level (public facility addresses)</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None required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All FQHCs and look-alikes. Sliding-scale care for uninsured and underinsured. Critical layer for health access mapping and for protest/assembly medic team route planning.</w:t>
      </w:r>
    </w:p>
    <w:p>
      <w:pPr>
        <w:pStyle w:val="Heading1"/>
      </w:pPr>
      <w:r>
        <w:t xml:space="preserve">Civic &amp; Surveillance Infrastructure</w:t>
      </w:r>
    </w:p>
    <w:p>
      <w:pPr>
        <w:pStyle w:val="Heading2"/>
      </w:pPr>
      <w:r>
        <w:t xml:space="preserve">OpenStates — Wisconsin Legislative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openstates.org/api · Free API</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CC BY 4.0</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Wisconsin state legislature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Real-time during session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REST API, JSON</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4/5 — Aggregates official state records</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N/A — bill and legislator data</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None required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Bills, votes, legislators, committee assignments. Enables tracking of legislation affecting housing, food access, environmental protections, and civil liberties. Pairs with action alerts for public comment periods.</w:t>
      </w:r>
    </w:p>
    <w:p>
      <w:pPr>
        <w:pStyle w:val="Heading2"/>
      </w:pPr>
      <w:r>
        <w:t xml:space="preserve">DeFlock — ALPR / Surveillance Camera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deflock.me · CC licensed data export</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CC BY-SA 4.0</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Crowdsourced national; growing Green Bay coverage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Crowdsourced; irregular</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GeoJSON export</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2/5 — Community-verified crowdsource; accuracy varies</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Location-level (infrastructure locations are already public by nature)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 — making existing surveillance infrastructure visible; symmetric information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Display with explicit trust rating and last-verified date. Distinguish between confirmed and unconfirmed reports.</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2</w:t>
            </w:r>
          </w:p>
        </w:tc>
      </w:tr>
    </w:tbl>
    <w:p>
      <w:pPr>
        <w:spacing w:before="100" w:after="200"/>
      </w:pPr>
      <w:r>
        <w:rPr>
          <w:rFonts w:ascii="Georgia" w:cs="Georgia" w:eastAsia="Georgia" w:hAnsi="Georgia"/>
          <w:color w:val="2D2A22"/>
          <w:sz w:val="24"/>
          <w:szCs w:val="24"/>
        </w:rPr>
        <w:t xml:space="preserve">Automated license plate reader locations and other surveillance infrastructure. Framed as environmental awareness — the same way one would want to know about air quality. Symmetric information: the infrastructure is already there; knowing it exists harms no one.</w:t>
      </w:r>
    </w:p>
    <w:p>
      <w:pPr>
        <w:pStyle w:val="Heading2"/>
      </w:pPr>
      <w:r>
        <w:t xml:space="preserve">Green Bay Municipal Permits &amp; Agendas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greenbaywi.gov/agendas · Public portal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record</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City of Green Bay</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Weekly</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Web scrape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4/5 — Municipal primary source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Event and location level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None required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Parade permits, special event permits, street closures, zoning variance applications. Critical for assembly safety layer (approved routes, adjacent events) and for early detection of rezoning pressure on affordable housing.</w:t>
      </w:r>
    </w:p>
    <w:p>
      <w:pPr>
        <w:pStyle w:val="Heading2"/>
      </w:pPr>
      <w:r>
        <w:t xml:space="preserve">NWS — National Weather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api.weather.gov · Free, no key required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domain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National; Green Bay (GRB) forecast office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Hourly forecast updates; real-time alerts</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REST API, JSON</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5/5 — Federal primary source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N/A</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 — weather is universally symmetric information</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None required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Real-time conditions, hourly forecasts, severe weather alerts. Critical for outdoor event planning and assembly safety. Wind speed and direction overlaid with AQI enables chemical dispersion awareness. Temperature extremes pair with SVI for heat/cold vulnerability mapping.</w:t>
      </w:r>
    </w:p>
    <w:p>
      <w:pPr>
        <w:pStyle w:val="Heading1"/>
      </w:pPr>
      <w:r>
        <w:t xml:space="preserve">Community Assets (Self-Reported)</w:t>
      </w:r>
    </w:p>
    <w:p>
      <w:pPr>
        <w:pStyle w:val="Heading2"/>
      </w:pPr>
      <w:r>
        <w:t xml:space="preserve">Mutual Aid Hub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mutualaidhub.org · Directory with API</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CC BY-SA</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National; Wisconsin groups included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Community-updated</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API, CSV</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2/5 — Self-reported; community-verified over time</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Organization-level (groups choose to be listed)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 — groups opt in to public listing</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Groups control their own listings. Distinguish active from inactive. Never display internal group communications or membership.</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Directory of active mutual aid groups by geography and focus area. Core layer for the community asset map. Enables gap analysis: where is there need but no organized response?</w:t>
      </w:r>
    </w:p>
    <w:p>
      <w:pPr>
        <w:pStyle w:val="Heading2"/>
      </w:pPr>
      <w:r>
        <w:t xml:space="preserve">FreeFridges.org / Little Free Pantry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freedge.org and littlefreepantry.org · Directories</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Public listings</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Crowdsourced national</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Community-updated</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Web scrape or API</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2/5 — Self-reported</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Location-level (public by design — people need to find them)</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Verify operational status. Allow community status updates (stocked / needs restocking / inactive).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Community free refrigerators and food pantries. Critical for food access gap analysis — these fill the spaces between institutional food banks. Real-time status updates from the community are the key feature.</w:t>
      </w:r>
    </w:p>
    <w:p>
      <w:pPr>
        <w:pStyle w:val="Heading2"/>
      </w:pPr>
      <w:r>
        <w:t xml:space="preserve">OpenStreetMap — Community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Field</w:t>
            </w:r>
          </w:p>
        </w:tc>
        <w:tc>
          <w:tcPr>
            <w:tcW w:type="dxa" w:w="6560"/>
            <w:tcBorders>
              <w:top w:val="single" w:color="CCCCCC" w:sz="1"/>
              <w:left w:val="single" w:color="CCCCCC" w:sz="1"/>
              <w:bottom w:val="single" w:color="CCCCCC" w:sz="1"/>
              <w:right w:val="single" w:color="CCCCCC" w:sz="1"/>
            </w:tcBorders>
            <w:shd w:fill="2D3A1A" w:val="clear"/>
            <w:tcMar>
              <w:top w:type="dxa" w:w="80"/>
              <w:left w:type="dxa" w:w="140"/>
              <w:bottom w:type="dxa" w:w="80"/>
              <w:right w:type="dxa" w:w="140"/>
            </w:tcMar>
          </w:tcPr>
          <w:p>
            <w:r>
              <w:rPr>
                <w:rFonts w:ascii="Courier New" w:cs="Courier New" w:eastAsia="Courier New" w:hAnsi="Courier New"/>
                <w:b/>
                <w:bCs/>
                <w:color w:val="7FA843"/>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Source / URL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openstreetmap.org · Overpass API</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License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ODbL</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Coverage</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Global; Green Bay has reasonable coverage</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Update frequency</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Near real-time (community edited)</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Format</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Overpass API, GeoJSON</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Trust rating</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3/5 — Community-verified; quality varies by area</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Aggregate level</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Point and polygon features</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Weaponization risk</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LOW</w:t>
            </w:r>
          </w:p>
        </w:tc>
      </w:tr>
      <w:tr>
        <w:tc>
          <w:tcPr>
            <w:tcW w:type="dxa" w:w="280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Mitigation</w:t>
            </w:r>
          </w:p>
        </w:tc>
        <w:tc>
          <w:tcPr>
            <w:tcW w:type="dxa" w:w="6560"/>
            <w:tcBorders>
              <w:top w:val="single" w:color="CCCCCC" w:sz="1"/>
              <w:left w:val="single" w:color="CCCCCC" w:sz="1"/>
              <w:bottom w:val="single" w:color="CCCCCC" w:sz="1"/>
              <w:right w:val="single" w:color="CCCCCC" w:sz="1"/>
            </w:tcBorders>
            <w:shd w:fill="2D1F0E" w:val="clear"/>
            <w:tcMar>
              <w:top w:type="dxa" w:w="80"/>
              <w:left w:type="dxa" w:w="140"/>
              <w:bottom w:type="dxa" w:w="80"/>
              <w:right w:type="dxa" w:w="140"/>
            </w:tcMar>
          </w:tcPr>
          <w:p>
            <w:r>
              <w:rPr>
                <w:rFonts w:ascii="Georgia" w:cs="Georgia" w:eastAsia="Georgia" w:hAnsi="Georgia"/>
                <w:color w:val="E8E0CC"/>
                <w:sz w:val="22"/>
                <w:szCs w:val="22"/>
              </w:rPr>
              <w:t xml:space="preserve">None required</w:t>
            </w:r>
          </w:p>
        </w:tc>
      </w:tr>
      <w:tr>
        <w:tc>
          <w:tcPr>
            <w:tcW w:type="dxa" w:w="280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w:t>
            </w:r>
          </w:p>
        </w:tc>
        <w:tc>
          <w:tcPr>
            <w:tcW w:type="dxa" w:w="6560"/>
            <w:tcBorders>
              <w:top w:val="single" w:color="CCCCCC" w:sz="1"/>
              <w:left w:val="single" w:color="CCCCCC" w:sz="1"/>
              <w:bottom w:val="single" w:color="CCCCCC" w:sz="1"/>
              <w:right w:val="single" w:color="CCCCCC" w:sz="1"/>
            </w:tcBorders>
            <w:shd w:fill="1A1208" w:val="clear"/>
            <w:tcMar>
              <w:top w:type="dxa" w:w="80"/>
              <w:left w:type="dxa" w:w="140"/>
              <w:bottom w:type="dxa" w:w="80"/>
              <w:right w:type="dxa" w:w="140"/>
            </w:tcMar>
          </w:tcPr>
          <w:p>
            <w:r>
              <w:rPr>
                <w:rFonts w:ascii="Georgia" w:cs="Georgia" w:eastAsia="Georgia" w:hAnsi="Georgia"/>
                <w:color w:val="E8E0CC"/>
                <w:sz w:val="22"/>
                <w:szCs w:val="22"/>
              </w:rPr>
              <w:t xml:space="preserve">Phase 1</w:t>
            </w:r>
          </w:p>
        </w:tc>
      </w:tr>
    </w:tbl>
    <w:p>
      <w:pPr>
        <w:spacing w:before="100" w:after="200"/>
      </w:pPr>
      <w:r>
        <w:rPr>
          <w:rFonts w:ascii="Georgia" w:cs="Georgia" w:eastAsia="Georgia" w:hAnsi="Georgia"/>
          <w:color w:val="2D2A22"/>
          <w:sz w:val="24"/>
          <w:szCs w:val="24"/>
        </w:rPr>
        <w:t xml:space="preserve">Community gardens, tool libraries, free little libraries, parks, clinics, transit stops, sidewalk infrastructure, building footprints. The geographic backbone of the community asset layer. Also provides street geometry for route and chokepoint analysis.</w:t>
      </w:r>
    </w:p>
    <w:p>
      <w:pPr>
        <w:spacing w:before="200" w:after="0"/>
      </w:pPr>
      <w:r>
        <w:t xml:space="preserve"/>
      </w:r>
    </w:p>
    <w:p>
      <w:pPr>
        <w:pStyle w:val="Heading1"/>
      </w:pPr>
      <w:r>
        <w:t xml:space="preserve">Planned Future Sources</w:t>
      </w:r>
    </w:p>
    <w:p>
      <w:pPr>
        <w:spacing w:before="0" w:after="140"/>
      </w:pPr>
      <w:r>
        <w:rPr>
          <w:rFonts w:ascii="Georgia" w:cs="Georgia" w:eastAsia="Georgia" w:hAnsi="Georgia"/>
          <w:color w:val="2D2A22"/>
          <w:sz w:val="24"/>
          <w:szCs w:val="24"/>
        </w:rPr>
        <w:t xml:space="preserve">The following sources are identified for future phases pending technical feasibility, legal review, or community governance approval:</w:t>
      </w:r>
    </w:p>
    <w:p>
      <w:pPr>
        <w:pStyle w:val="ListParagraph"/>
        <w:numPr>
          <w:ilvl w:val="0"/>
          <w:numId w:val="2"/>
        </w:numPr>
        <w:spacing w:before="50" w:after="50"/>
      </w:pPr>
      <w:r>
        <w:rPr>
          <w:rFonts w:ascii="Georgia" w:cs="Georgia" w:eastAsia="Georgia" w:hAnsi="Georgia"/>
          <w:color w:val="2D2A22"/>
          <w:sz w:val="24"/>
          <w:szCs w:val="24"/>
        </w:rPr>
        <w:t xml:space="preserve">Property ownership networks and LLC clustering (Brown County Register of Deeds — Phase 2)</w:t>
      </w:r>
    </w:p>
    <w:p>
      <w:pPr>
        <w:pStyle w:val="ListParagraph"/>
        <w:numPr>
          <w:ilvl w:val="0"/>
          <w:numId w:val="2"/>
        </w:numPr>
        <w:spacing w:before="50" w:after="50"/>
      </w:pPr>
      <w:r>
        <w:rPr>
          <w:rFonts w:ascii="Georgia" w:cs="Georgia" w:eastAsia="Georgia" w:hAnsi="Georgia"/>
          <w:color w:val="2D2A22"/>
          <w:sz w:val="24"/>
          <w:szCs w:val="24"/>
        </w:rPr>
        <w:t xml:space="preserve">Sentinel-2 satellite imagery for urban heat island and tree canopy analysis (Phase 2)</w:t>
      </w:r>
    </w:p>
    <w:p>
      <w:pPr>
        <w:pStyle w:val="ListParagraph"/>
        <w:numPr>
          <w:ilvl w:val="0"/>
          <w:numId w:val="2"/>
        </w:numPr>
        <w:spacing w:before="50" w:after="50"/>
      </w:pPr>
      <w:r>
        <w:rPr>
          <w:rFonts w:ascii="Georgia" w:cs="Georgia" w:eastAsia="Georgia" w:hAnsi="Georgia"/>
          <w:color w:val="2D2A22"/>
          <w:sz w:val="24"/>
          <w:szCs w:val="24"/>
        </w:rPr>
        <w:t xml:space="preserve">Wisconsin campaign finance database for local election tracking (Phase 2)</w:t>
      </w:r>
    </w:p>
    <w:p>
      <w:pPr>
        <w:pStyle w:val="ListParagraph"/>
        <w:numPr>
          <w:ilvl w:val="0"/>
          <w:numId w:val="2"/>
        </w:numPr>
        <w:spacing w:before="50" w:after="50"/>
      </w:pPr>
      <w:r>
        <w:rPr>
          <w:rFonts w:ascii="Georgia" w:cs="Georgia" w:eastAsia="Georgia" w:hAnsi="Georgia"/>
          <w:color w:val="2D2A22"/>
          <w:sz w:val="24"/>
          <w:szCs w:val="24"/>
        </w:rPr>
        <w:t xml:space="preserve">Green Bay Metro Transit GTFS real-time feeds (Phase 1 — pending API access)</w:t>
      </w:r>
    </w:p>
    <w:p>
      <w:pPr>
        <w:pStyle w:val="ListParagraph"/>
        <w:numPr>
          <w:ilvl w:val="0"/>
          <w:numId w:val="2"/>
        </w:numPr>
        <w:spacing w:before="50" w:after="50"/>
      </w:pPr>
      <w:r>
        <w:rPr>
          <w:rFonts w:ascii="Georgia" w:cs="Georgia" w:eastAsia="Georgia" w:hAnsi="Georgia"/>
          <w:color w:val="2D2A22"/>
          <w:sz w:val="24"/>
          <w:szCs w:val="24"/>
        </w:rPr>
        <w:t xml:space="preserve">USGS real-time water quality monitoring (Phase 2)</w:t>
      </w:r>
    </w:p>
    <w:p>
      <w:pPr>
        <w:pStyle w:val="ListParagraph"/>
        <w:numPr>
          <w:ilvl w:val="0"/>
          <w:numId w:val="2"/>
        </w:numPr>
        <w:spacing w:before="50" w:after="50"/>
      </w:pPr>
      <w:r>
        <w:rPr>
          <w:rFonts w:ascii="Georgia" w:cs="Georgia" w:eastAsia="Georgia" w:hAnsi="Georgia"/>
          <w:color w:val="2D2A22"/>
          <w:sz w:val="24"/>
          <w:szCs w:val="24"/>
        </w:rPr>
        <w:t xml:space="preserve">Rental listing price tracking for speculative pressure signals (Phase 2 — methodology TBD)</w:t>
      </w:r>
    </w:p>
    <w:p>
      <w:pPr>
        <w:pStyle w:val="ListParagraph"/>
        <w:numPr>
          <w:ilvl w:val="0"/>
          <w:numId w:val="2"/>
        </w:numPr>
        <w:spacing w:before="50" w:after="50"/>
      </w:pPr>
      <w:r>
        <w:rPr>
          <w:rFonts w:ascii="Georgia" w:cs="Georgia" w:eastAsia="Georgia" w:hAnsi="Georgia"/>
          <w:color w:val="2D2A22"/>
          <w:sz w:val="24"/>
          <w:szCs w:val="24"/>
        </w:rPr>
        <w:t xml:space="preserve">ActivityPub-federated community reports from allied Mastodon/Fediverse instances (Phase 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7A32" w:sz="4" w:space="4"/>
      </w:pBdr>
    </w:pPr>
    <w:r>
      <w:rPr>
        <w:rFonts w:ascii="Courier New" w:cs="Courier New" w:eastAsia="Courier New" w:hAnsi="Courier New"/>
        <w:color w:val="8A9A78"/>
        <w:sz w:val="14"/>
        <w:szCs w:val="14"/>
      </w:rPr>
      <w:t xml:space="preserve">Data Sources v0.1  ·  Public Document  ·  CC BY-SA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7A32" w:sz="4" w:space="4"/>
      </w:pBdr>
    </w:pPr>
    <w:r>
      <w:rPr>
        <w:rFonts w:ascii="Courier New" w:cs="Courier New" w:eastAsia="Courier New" w:hAnsi="Courier New"/>
        <w:b/>
        <w:bCs/>
        <w:color w:val="7FA843"/>
        <w:sz w:val="16"/>
        <w:szCs w:val="16"/>
      </w:rPr>
      <w:t xml:space="preserve">COMMONGROUND  //  </w:t>
    </w:r>
    <w:r>
      <w:rPr>
        <w:rFonts w:ascii="Courier New" w:cs="Courier New" w:eastAsia="Courier New" w:hAnsi="Courier New"/>
        <w:color w:val="8A9A78"/>
        <w:sz w:val="16"/>
        <w:szCs w:val="16"/>
      </w:rPr>
      <w:t xml:space="preserve">Data Source Documentation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A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4A017" w:sz="6" w:space="4"/>
      </w:pBdr>
      <w:spacing w:before="400" w:after="120"/>
      <w:outlineLvl w:val="0"/>
    </w:pPr>
    <w:rPr>
      <w:rFonts w:ascii="Courier New" w:cs="Courier New" w:eastAsia="Courier New" w:hAnsi="Courier New"/>
      <w:b/>
      <w:bCs/>
      <w:caps/>
      <w:color w:val="D4A017"/>
      <w:sz w:val="30"/>
      <w:szCs w:val="30"/>
    </w:rPr>
  </w:style>
  <w:style w:type="paragraph" w:styleId="Heading2">
    <w:name w:val="Heading 2"/>
    <w:basedOn w:val="Normal"/>
    <w:next w:val="Normal"/>
    <w:qFormat/>
    <w:pPr>
      <w:spacing w:before="300" w:after="80"/>
      <w:outlineLvl w:val="1"/>
    </w:pPr>
    <w:rPr>
      <w:rFonts w:ascii="Courier New" w:cs="Courier New" w:eastAsia="Courier New" w:hAnsi="Courier New"/>
      <w:b/>
      <w:bCs/>
      <w:color w:val="E8861A"/>
      <w:sz w:val="25"/>
      <w:szCs w:val="25"/>
    </w:rPr>
  </w:style>
  <w:style w:type="paragraph" w:styleId="Heading3">
    <w:name w:val="Heading 3"/>
    <w:basedOn w:val="Normal"/>
    <w:next w:val="Normal"/>
    <w:qFormat/>
    <w:pPr>
      <w:spacing w:before="200" w:after="60"/>
      <w:outlineLvl w:val="2"/>
    </w:pPr>
    <w:rPr>
      <w:rFonts w:ascii="Courier New" w:cs="Courier New" w:eastAsia="Courier New" w:hAnsi="Courier New"/>
      <w:b/>
      <w:bCs/>
      <w:color w:val="8A9A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2026-03-18T08:43:21.206Z</dcterms:created>
  <dcterms:modified xsi:type="dcterms:W3CDTF">2026-03-18T08:43:21.206Z</dcterms:modified>
</cp:coreProperties>
</file>

<file path=docProps/custom.xml><?xml version="1.0" encoding="utf-8"?>
<Properties xmlns="http://schemas.openxmlformats.org/officeDocument/2006/custom-properties" xmlns:vt="http://schemas.openxmlformats.org/officeDocument/2006/docPropsVTypes"/>
</file>