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rPr>
          <w:rFonts w:ascii="Courier New" w:cs="Courier New" w:eastAsia="Courier New" w:hAnsi="Courier New"/>
          <w:b/>
          <w:bCs/>
          <w:caps/>
          <w:color w:val="7FA843"/>
          <w:sz w:val="52"/>
          <w:szCs w:val="52"/>
        </w:rPr>
        <w:t xml:space="preserve">CommonGround</w:t>
      </w:r>
    </w:p>
    <w:p>
      <w:pPr>
        <w:spacing w:before="0" w:after="0"/>
      </w:pPr>
      <w:r>
        <w:rPr>
          <w:rFonts w:ascii="Georgia" w:cs="Georgia" w:eastAsia="Georgia" w:hAnsi="Georgia"/>
          <w:i/>
          <w:iCs/>
          <w:color w:val="8A9A78"/>
          <w:sz w:val="28"/>
          <w:szCs w:val="28"/>
        </w:rPr>
        <w:t xml:space="preserve">Guiding Principles</w:t>
      </w:r>
    </w:p>
    <w:p>
      <w:pPr>
        <w:pBdr>
          <w:bottom w:val="single" w:color="7FA843" w:sz="10" w:space="6"/>
        </w:pBdr>
        <w:spacing w:before="60" w:after="0"/>
      </w:pPr>
      <w:r>
        <w:rPr>
          <w:rFonts w:ascii="Courier New" w:cs="Courier New" w:eastAsia="Courier New" w:hAnsi="Courier New"/>
          <w:color w:val="E8861A"/>
          <w:sz w:val="18"/>
          <w:szCs w:val="18"/>
        </w:rPr>
        <w:t xml:space="preserve">v0.2  ·  March 2026  ·  Supersedes Compact v0.1</w:t>
      </w:r>
    </w:p>
    <w:p>
      <w:pPr>
        <w:spacing w:before="320" w:after="0"/>
      </w:pPr>
      <w:r>
        <w:t xml:space="preserve"/>
      </w:r>
    </w:p>
    <w:p>
      <w:pPr>
        <w:pStyle w:val="Heading1"/>
      </w:pPr>
      <w:r>
        <w:t xml:space="preserve">I. Why This Exists</w:t>
      </w:r>
    </w:p>
    <w:p>
      <w:pPr>
        <w:spacing w:before="0" w:after="140"/>
      </w:pPr>
      <w:r>
        <w:rPr>
          <w:rFonts w:ascii="Georgia" w:cs="Georgia" w:eastAsia="Georgia" w:hAnsi="Georgia"/>
          <w:color w:val="2D2A22"/>
          <w:sz w:val="24"/>
          <w:szCs w:val="24"/>
        </w:rPr>
        <w:t xml:space="preserve">The data about our communities has always existed. The tools built from it have not always served us.</w:t>
      </w:r>
    </w:p>
    <w:p>
      <w:pPr>
        <w:spacing w:before="0" w:after="140"/>
      </w:pPr>
      <w:r>
        <w:rPr>
          <w:rFonts w:ascii="Georgia" w:cs="Georgia" w:eastAsia="Georgia" w:hAnsi="Georgia"/>
          <w:color w:val="2D2A22"/>
          <w:sz w:val="24"/>
          <w:szCs w:val="24"/>
        </w:rPr>
        <w:t xml:space="preserve">Executives have dashboards. Landlords have platforms. Speculators have algorithms. The institutions that shape our neighborhoods have long had access to intelligence tools that let them make decisions — about us, without us. CommonGround is built to close that gap.</w:t>
      </w:r>
    </w:p>
    <w:p>
      <w:pPr>
        <w:spacing w:before="0" w:after="140"/>
      </w:pPr>
      <w:r>
        <w:rPr>
          <w:rFonts w:ascii="Georgia" w:cs="Georgia" w:eastAsia="Georgia" w:hAnsi="Georgia"/>
          <w:color w:val="2D2A22"/>
          <w:sz w:val="24"/>
          <w:szCs w:val="24"/>
        </w:rPr>
        <w:t xml:space="preserve">This is not a surveillance tool. It is a community nervous system — the capacity to sense what is happening, share that awareness laterally, and coordinate response. Every design decision flows from that purpose.</w:t>
      </w:r>
    </w:p>
    <w:p>
      <w:pPr>
        <w:pStyle w:val="Heading1"/>
      </w:pPr>
      <w:r>
        <w:t xml:space="preserve">II. Core Values</w:t>
      </w:r>
    </w:p>
    <w:p>
      <w:pPr>
        <w:pStyle w:val="Heading2"/>
      </w:pPr>
      <w:r>
        <w:t xml:space="preserve">Community Sovereignty</w:t>
      </w:r>
    </w:p>
    <w:p>
      <w:pPr>
        <w:spacing w:before="0" w:after="140"/>
      </w:pPr>
      <w:r>
        <w:rPr>
          <w:rFonts w:ascii="Georgia" w:cs="Georgia" w:eastAsia="Georgia" w:hAnsi="Georgia"/>
          <w:color w:val="2D2A22"/>
          <w:sz w:val="24"/>
          <w:szCs w:val="24"/>
        </w:rPr>
        <w:t xml:space="preserve">The communities represented by this data are its owners, not its subjects. No design decision, data layer, or alert system will be built without asking: does this strengthen the community's ability to act on its own behalf?</w:t>
      </w:r>
    </w:p>
    <w:p>
      <w:pPr>
        <w:pStyle w:val="Heading2"/>
      </w:pPr>
      <w:r>
        <w:t xml:space="preserve">Radical Transparency</w:t>
      </w:r>
    </w:p>
    <w:p>
      <w:pPr>
        <w:spacing w:before="0" w:after="140"/>
      </w:pPr>
      <w:r>
        <w:rPr>
          <w:rFonts w:ascii="Georgia" w:cs="Georgia" w:eastAsia="Georgia" w:hAnsi="Georgia"/>
          <w:color w:val="2D2A22"/>
          <w:sz w:val="24"/>
          <w:szCs w:val="24"/>
        </w:rPr>
        <w:t xml:space="preserve">Every data source is named. Every methodology is documented. Every governance decision is logged publicly with its rationale. We have nothing to hide because we are doing nothing that requires hiding.</w:t>
      </w:r>
    </w:p>
    <w:p>
      <w:pPr>
        <w:pStyle w:val="Heading2"/>
      </w:pPr>
      <w:r>
        <w:t xml:space="preserve">Epistemic Honesty</w:t>
      </w:r>
    </w:p>
    <w:p>
      <w:pPr>
        <w:spacing w:before="0" w:after="140"/>
      </w:pPr>
      <w:r>
        <w:rPr>
          <w:rFonts w:ascii="Georgia" w:cs="Georgia" w:eastAsia="Georgia" w:hAnsi="Georgia"/>
          <w:color w:val="2D2A22"/>
          <w:sz w:val="24"/>
          <w:szCs w:val="24"/>
        </w:rPr>
        <w:t xml:space="preserve">This is one of CommonGround's most important commitments and is elaborated fully in Section V. In brief: we will never allow the platform's framing to do analytical work the data cannot support. Correlations are labeled as correlations. Causal claims require primary source evidence. Uncertainty is named, not buried.</w:t>
      </w:r>
    </w:p>
    <w:p>
      <w:pPr>
        <w:pStyle w:val="Heading2"/>
      </w:pPr>
      <w:r>
        <w:t xml:space="preserve">Proportionality of Harm</w:t>
      </w:r>
    </w:p>
    <w:p>
      <w:pPr>
        <w:spacing w:before="0" w:after="140"/>
      </w:pPr>
      <w:r>
        <w:rPr>
          <w:rFonts w:ascii="Georgia" w:cs="Georgia" w:eastAsia="Georgia" w:hAnsi="Georgia"/>
          <w:color w:val="2D2A22"/>
          <w:sz w:val="24"/>
          <w:szCs w:val="24"/>
        </w:rPr>
        <w:t xml:space="preserve">Governance rights, alert confidence levels, and data layer decisions are all calibrated to exposure to harm. The communities most at risk from a given data layer have the most say in how it is used.</w:t>
      </w:r>
    </w:p>
    <w:p>
      <w:pPr>
        <w:pStyle w:val="Heading2"/>
      </w:pPr>
      <w:r>
        <w:t xml:space="preserve">Decentralization as Design</w:t>
      </w:r>
    </w:p>
    <w:p>
      <w:pPr>
        <w:spacing w:before="0" w:after="140"/>
      </w:pPr>
      <w:r>
        <w:rPr>
          <w:rFonts w:ascii="Georgia" w:cs="Georgia" w:eastAsia="Georgia" w:hAnsi="Georgia"/>
          <w:color w:val="2D2A22"/>
          <w:sz w:val="24"/>
          <w:szCs w:val="24"/>
        </w:rPr>
        <w:t xml:space="preserve">No single entity — including the founder — should be able to control or compromise CommonGround. The architecture, licensing, and governance model all work toward a state of community sovereignty where the platform belongs to no one and everyone.</w:t>
      </w:r>
    </w:p>
    <w:p>
      <w:pPr>
        <w:pStyle w:val="Heading2"/>
      </w:pPr>
      <w:r>
        <w:t xml:space="preserve">The Solarpunk Commitment</w:t>
      </w:r>
    </w:p>
    <w:p>
      <w:pPr>
        <w:spacing w:before="0" w:after="140"/>
      </w:pPr>
      <w:r>
        <w:rPr>
          <w:rFonts w:ascii="Georgia" w:cs="Georgia" w:eastAsia="Georgia" w:hAnsi="Georgia"/>
          <w:color w:val="2D2A22"/>
          <w:sz w:val="24"/>
          <w:szCs w:val="24"/>
        </w:rPr>
        <w:t xml:space="preserve">For every hazard the platform reveals, we seek assets. For every threat, a network. For every data point about what is being taken from communities, a corresponding layer about what communities are building. The platform succeeds when it makes people more capable, not more afraid.</w:t>
      </w:r>
    </w:p>
    <w:p>
      <w:pPr>
        <w:pStyle w:val="Heading1"/>
      </w:pPr>
      <w:r>
        <w:t xml:space="preserve">III. Who This Serves</w:t>
      </w:r>
    </w:p>
    <w:p>
      <w:pPr>
        <w:spacing w:before="0" w:after="140"/>
      </w:pPr>
      <w:r>
        <w:rPr>
          <w:rFonts w:ascii="Georgia" w:cs="Georgia" w:eastAsia="Georgia" w:hAnsi="Georgia"/>
          <w:color w:val="2D2A22"/>
          <w:sz w:val="24"/>
          <w:szCs w:val="24"/>
        </w:rPr>
        <w:t xml:space="preserve">CommonGround is built for people and organizations working to strengthen communities from within:</w:t>
      </w:r>
    </w:p>
    <w:p>
      <w:pPr>
        <w:pStyle w:val="ListParagraph"/>
        <w:numPr>
          <w:ilvl w:val="0"/>
          <w:numId w:val="2"/>
        </w:numPr>
        <w:spacing w:before="50" w:after="50"/>
      </w:pPr>
      <w:r>
        <w:rPr>
          <w:rFonts w:ascii="Georgia" w:cs="Georgia" w:eastAsia="Georgia" w:hAnsi="Georgia"/>
          <w:color w:val="2D2A22"/>
          <w:sz w:val="24"/>
          <w:szCs w:val="24"/>
        </w:rPr>
        <w:t xml:space="preserve">Mutual aid networks and crisis response groups</w:t>
      </w:r>
    </w:p>
    <w:p>
      <w:pPr>
        <w:pStyle w:val="ListParagraph"/>
        <w:numPr>
          <w:ilvl w:val="0"/>
          <w:numId w:val="2"/>
        </w:numPr>
        <w:spacing w:before="50" w:after="50"/>
      </w:pPr>
      <w:r>
        <w:rPr>
          <w:rFonts w:ascii="Georgia" w:cs="Georgia" w:eastAsia="Georgia" w:hAnsi="Georgia"/>
          <w:color w:val="2D2A22"/>
          <w:sz w:val="24"/>
          <w:szCs w:val="24"/>
        </w:rPr>
        <w:t xml:space="preserve">Tenant rights organizations and housing advocates</w:t>
      </w:r>
    </w:p>
    <w:p>
      <w:pPr>
        <w:pStyle w:val="ListParagraph"/>
        <w:numPr>
          <w:ilvl w:val="0"/>
          <w:numId w:val="2"/>
        </w:numPr>
        <w:spacing w:before="50" w:after="50"/>
      </w:pPr>
      <w:r>
        <w:rPr>
          <w:rFonts w:ascii="Georgia" w:cs="Georgia" w:eastAsia="Georgia" w:hAnsi="Georgia"/>
          <w:color w:val="2D2A22"/>
          <w:sz w:val="24"/>
          <w:szCs w:val="24"/>
        </w:rPr>
        <w:t xml:space="preserve">Neighborhood associations and block clubs</w:t>
      </w:r>
    </w:p>
    <w:p>
      <w:pPr>
        <w:pStyle w:val="ListParagraph"/>
        <w:numPr>
          <w:ilvl w:val="0"/>
          <w:numId w:val="2"/>
        </w:numPr>
        <w:spacing w:before="50" w:after="50"/>
      </w:pPr>
      <w:r>
        <w:rPr>
          <w:rFonts w:ascii="Georgia" w:cs="Georgia" w:eastAsia="Georgia" w:hAnsi="Georgia"/>
          <w:color w:val="2D2A22"/>
          <w:sz w:val="24"/>
          <w:szCs w:val="24"/>
        </w:rPr>
        <w:t xml:space="preserve">Food access and food justice organizers</w:t>
      </w:r>
    </w:p>
    <w:p>
      <w:pPr>
        <w:pStyle w:val="ListParagraph"/>
        <w:numPr>
          <w:ilvl w:val="0"/>
          <w:numId w:val="2"/>
        </w:numPr>
        <w:spacing w:before="50" w:after="50"/>
      </w:pPr>
      <w:r>
        <w:rPr>
          <w:rFonts w:ascii="Georgia" w:cs="Georgia" w:eastAsia="Georgia" w:hAnsi="Georgia"/>
          <w:color w:val="2D2A22"/>
          <w:sz w:val="24"/>
          <w:szCs w:val="24"/>
        </w:rPr>
        <w:t xml:space="preserve">Environmental justice advocates</w:t>
      </w:r>
    </w:p>
    <w:p>
      <w:pPr>
        <w:pStyle w:val="ListParagraph"/>
        <w:numPr>
          <w:ilvl w:val="0"/>
          <w:numId w:val="2"/>
        </w:numPr>
        <w:spacing w:before="50" w:after="50"/>
      </w:pPr>
      <w:r>
        <w:rPr>
          <w:rFonts w:ascii="Georgia" w:cs="Georgia" w:eastAsia="Georgia" w:hAnsi="Georgia"/>
          <w:color w:val="2D2A22"/>
          <w:sz w:val="24"/>
          <w:szCs w:val="24"/>
        </w:rPr>
        <w:t xml:space="preserve">Community health workers and harm reduction organizations</w:t>
      </w:r>
    </w:p>
    <w:p>
      <w:pPr>
        <w:pStyle w:val="ListParagraph"/>
        <w:numPr>
          <w:ilvl w:val="0"/>
          <w:numId w:val="2"/>
        </w:numPr>
        <w:spacing w:before="50" w:after="50"/>
      </w:pPr>
      <w:r>
        <w:rPr>
          <w:rFonts w:ascii="Georgia" w:cs="Georgia" w:eastAsia="Georgia" w:hAnsi="Georgia"/>
          <w:color w:val="2D2A22"/>
          <w:sz w:val="24"/>
          <w:szCs w:val="24"/>
        </w:rPr>
        <w:t xml:space="preserve">Peaceful assembly participants and legal observers</w:t>
      </w:r>
    </w:p>
    <w:p>
      <w:pPr>
        <w:pStyle w:val="ListParagraph"/>
        <w:numPr>
          <w:ilvl w:val="0"/>
          <w:numId w:val="2"/>
        </w:numPr>
        <w:spacing w:before="50" w:after="50"/>
      </w:pPr>
      <w:r>
        <w:rPr>
          <w:rFonts w:ascii="Georgia" w:cs="Georgia" w:eastAsia="Georgia" w:hAnsi="Georgia"/>
          <w:color w:val="2D2A22"/>
          <w:sz w:val="24"/>
          <w:szCs w:val="24"/>
        </w:rPr>
        <w:t xml:space="preserve">Local civic organizations and open government advocates</w:t>
      </w:r>
    </w:p>
    <w:p>
      <w:pPr>
        <w:pStyle w:val="ListParagraph"/>
        <w:numPr>
          <w:ilvl w:val="0"/>
          <w:numId w:val="2"/>
        </w:numPr>
        <w:spacing w:before="50" w:after="50"/>
      </w:pPr>
      <w:r>
        <w:rPr>
          <w:rFonts w:ascii="Georgia" w:cs="Georgia" w:eastAsia="Georgia" w:hAnsi="Georgia"/>
          <w:color w:val="2D2A22"/>
          <w:sz w:val="24"/>
          <w:szCs w:val="24"/>
        </w:rPr>
        <w:t xml:space="preserve">Anyone with a stake in a neighborhood and a desire to make it more resilient</w:t>
      </w:r>
    </w:p>
    <w:p>
      <w:pPr>
        <w:spacing w:before="120" w:after="0"/>
      </w:pPr>
      <w:r>
        <w:t xml:space="preserve"/>
      </w:r>
    </w:p>
    <w:p>
      <w:pPr>
        <w:spacing w:before="0" w:after="140"/>
      </w:pPr>
      <w:r>
        <w:rPr>
          <w:rFonts w:ascii="Georgia" w:cs="Georgia" w:eastAsia="Georgia" w:hAnsi="Georgia"/>
          <w:color w:val="2D2A22"/>
          <w:sz w:val="24"/>
          <w:szCs w:val="24"/>
        </w:rPr>
        <w:t xml:space="preserve">CommonGround is explicitly not built for:</w:t>
      </w:r>
    </w:p>
    <w:p>
      <w:pPr>
        <w:pStyle w:val="ListParagraph"/>
        <w:numPr>
          <w:ilvl w:val="0"/>
          <w:numId w:val="2"/>
        </w:numPr>
        <w:spacing w:before="50" w:after="50"/>
      </w:pPr>
      <w:r>
        <w:rPr>
          <w:rFonts w:ascii="Georgia" w:cs="Georgia" w:eastAsia="Georgia" w:hAnsi="Georgia"/>
          <w:color w:val="C44A1A"/>
          <w:sz w:val="24"/>
          <w:szCs w:val="24"/>
        </w:rPr>
        <w:t xml:space="preserve">Real estate investors seeking displacement opportunity</w:t>
      </w:r>
    </w:p>
    <w:p>
      <w:pPr>
        <w:pStyle w:val="ListParagraph"/>
        <w:numPr>
          <w:ilvl w:val="0"/>
          <w:numId w:val="2"/>
        </w:numPr>
        <w:spacing w:before="50" w:after="50"/>
      </w:pPr>
      <w:r>
        <w:rPr>
          <w:rFonts w:ascii="Georgia" w:cs="Georgia" w:eastAsia="Georgia" w:hAnsi="Georgia"/>
          <w:color w:val="C44A1A"/>
          <w:sz w:val="24"/>
          <w:szCs w:val="24"/>
        </w:rPr>
        <w:t xml:space="preserve">Law enforcement, immigration enforcement, or any surveillance operation</w:t>
      </w:r>
    </w:p>
    <w:p>
      <w:pPr>
        <w:pStyle w:val="ListParagraph"/>
        <w:numPr>
          <w:ilvl w:val="0"/>
          <w:numId w:val="2"/>
        </w:numPr>
        <w:spacing w:before="50" w:after="50"/>
      </w:pPr>
      <w:r>
        <w:rPr>
          <w:rFonts w:ascii="Georgia" w:cs="Georgia" w:eastAsia="Georgia" w:hAnsi="Georgia"/>
          <w:color w:val="C44A1A"/>
          <w:sz w:val="24"/>
          <w:szCs w:val="24"/>
        </w:rPr>
        <w:t xml:space="preserve">Employers or landlords screening individuals</w:t>
      </w:r>
    </w:p>
    <w:p>
      <w:pPr>
        <w:pStyle w:val="ListParagraph"/>
        <w:numPr>
          <w:ilvl w:val="0"/>
          <w:numId w:val="2"/>
        </w:numPr>
        <w:spacing w:before="50" w:after="50"/>
      </w:pPr>
      <w:r>
        <w:rPr>
          <w:rFonts w:ascii="Georgia" w:cs="Georgia" w:eastAsia="Georgia" w:hAnsi="Georgia"/>
          <w:color w:val="C44A1A"/>
          <w:sz w:val="24"/>
          <w:szCs w:val="24"/>
        </w:rPr>
        <w:t xml:space="preserve">Any entity whose primary purpose is extractive rather than community-serving</w:t>
      </w:r>
    </w:p>
    <w:p>
      <w:pPr>
        <w:spacing w:before="120" w:after="0"/>
      </w:pPr>
      <w:r>
        <w:t xml:space="preserve"/>
      </w:r>
    </w:p>
    <w:p>
      <w:pPr>
        <w:spacing w:before="0" w:after="160"/>
      </w:pPr>
      <w:r>
        <w:rPr>
          <w:rFonts w:ascii="Georgia" w:cs="Georgia" w:eastAsia="Georgia" w:hAnsi="Georgia"/>
          <w:i/>
          <w:iCs/>
          <w:color w:val="8A9A78"/>
          <w:sz w:val="24"/>
          <w:szCs w:val="24"/>
        </w:rPr>
        <w:t xml:space="preserve">We acknowledge that open tools can be used by anyone. The above is a statement of values and a governance framework, not a technical restriction. Our architecture will make harmful use as difficult as possible. We will not pretend it is impossible.</w:t>
      </w:r>
    </w:p>
    <w:p>
      <w:pPr>
        <w:pStyle w:val="Heading1"/>
      </w:pPr>
      <w:r>
        <w:t xml:space="preserve">IV. What We Will Never Do</w:t>
      </w:r>
    </w:p>
    <w:p>
      <w:pPr>
        <w:spacing w:before="0" w:after="140"/>
      </w:pPr>
      <w:r>
        <w:rPr>
          <w:rFonts w:ascii="Georgia" w:cs="Georgia" w:eastAsia="Georgia" w:hAnsi="Georgia"/>
          <w:color w:val="2D2A22"/>
          <w:sz w:val="24"/>
          <w:szCs w:val="24"/>
        </w:rPr>
        <w:t xml:space="preserve">These are non-negotiable. They are not subject to community vote, feature request, or governance process. They exist to protect the people represented by the data.</w:t>
      </w:r>
    </w:p>
    <w:p>
      <w:pPr>
        <w:pStyle w:val="Heading2"/>
      </w:pPr>
      <w:r>
        <w:t xml:space="preserve">No Individual Tracking</w:t>
      </w:r>
    </w:p>
    <w:p>
      <w:pPr>
        <w:spacing w:before="0" w:after="140"/>
      </w:pPr>
      <w:r>
        <w:rPr>
          <w:rFonts w:ascii="Georgia" w:cs="Georgia" w:eastAsia="Georgia" w:hAnsi="Georgia"/>
          <w:color w:val="2D2A22"/>
          <w:sz w:val="24"/>
          <w:szCs w:val="24"/>
        </w:rPr>
        <w:t xml:space="preserve">All data surfaces at aggregate level — neighborhood, census tract, or zip code minimum. The architecture enforces this technically. Policy alone is insufficient.</w:t>
      </w:r>
    </w:p>
    <w:p>
      <w:pPr>
        <w:pStyle w:val="Heading2"/>
      </w:pPr>
      <w:r>
        <w:t xml:space="preserve">No Data Sales or Sharing with Harmful Actors</w:t>
      </w:r>
    </w:p>
    <w:p>
      <w:pPr>
        <w:spacing w:before="0" w:after="140"/>
      </w:pPr>
      <w:r>
        <w:rPr>
          <w:rFonts w:ascii="Georgia" w:cs="Georgia" w:eastAsia="Georgia" w:hAnsi="Georgia"/>
          <w:color w:val="2D2A22"/>
          <w:sz w:val="24"/>
          <w:szCs w:val="24"/>
        </w:rPr>
        <w:t xml:space="preserve">CommonGround will never sell, license, or share its data — including aggregates, derived signals, or usage patterns — with law enforcement, immigration enforcement, real estate speculation interests, or any extractive entity.</w:t>
      </w:r>
    </w:p>
    <w:p>
      <w:pPr>
        <w:pStyle w:val="Heading2"/>
      </w:pPr>
      <w:r>
        <w:t xml:space="preserve">No Dark Patterns or Engagement Optimization</w:t>
      </w:r>
    </w:p>
    <w:p>
      <w:pPr>
        <w:spacing w:before="0" w:after="140"/>
      </w:pPr>
      <w:r>
        <w:rPr>
          <w:rFonts w:ascii="Georgia" w:cs="Georgia" w:eastAsia="Georgia" w:hAnsi="Georgia"/>
          <w:color w:val="2D2A22"/>
          <w:sz w:val="24"/>
          <w:szCs w:val="24"/>
        </w:rPr>
        <w:t xml:space="preserve">Alerts exist to prompt action, not anxiety. The platform is not optimized for time-on-screen, emotional activation, or political engagement for its own sake. CommonGround succeeds when communities need it less, not more.</w:t>
      </w:r>
    </w:p>
    <w:p>
      <w:pPr>
        <w:pStyle w:val="Heading2"/>
      </w:pPr>
      <w:r>
        <w:t xml:space="preserve">No Advertising, Ever</w:t>
      </w:r>
    </w:p>
    <w:p>
      <w:pPr>
        <w:spacing w:before="0" w:after="140"/>
      </w:pPr>
      <w:r>
        <w:rPr>
          <w:rFonts w:ascii="Georgia" w:cs="Georgia" w:eastAsia="Georgia" w:hAnsi="Georgia"/>
          <w:color w:val="2D2A22"/>
          <w:sz w:val="24"/>
          <w:szCs w:val="24"/>
        </w:rPr>
        <w:t xml:space="preserve">Not targeted, not contextual, not sponsored. The platform's incentives must remain aligned with community benefit, not attention capture.</w:t>
      </w:r>
    </w:p>
    <w:p>
      <w:pPr>
        <w:pStyle w:val="Heading2"/>
      </w:pPr>
      <w:r>
        <w:t xml:space="preserve">No Quiet Changes to These Commitments</w:t>
      </w:r>
    </w:p>
    <w:p>
      <w:pPr>
        <w:spacing w:before="0" w:after="140"/>
      </w:pPr>
      <w:r>
        <w:rPr>
          <w:rFonts w:ascii="Georgia" w:cs="Georgia" w:eastAsia="Georgia" w:hAnsi="Georgia"/>
          <w:color w:val="2D2A22"/>
          <w:sz w:val="24"/>
          <w:szCs w:val="24"/>
        </w:rPr>
        <w:t xml:space="preserve">Changes to this section require a public announcement, 30-day comment period, and — once the Stewardship Council exists — unanimous approval. The version history of this document is permanently public.</w:t>
      </w:r>
    </w:p>
    <w:p>
      <w:pPr>
        <w:pStyle w:val="Heading1"/>
      </w:pPr>
      <w:r>
        <w:t xml:space="preserve">V. Epistemic Standards</w:t>
      </w:r>
    </w:p>
    <w:p>
      <w:pPr>
        <w:spacing w:before="0" w:after="140"/>
      </w:pPr>
      <w:r>
        <w:rPr>
          <w:rFonts w:ascii="Georgia" w:cs="Georgia" w:eastAsia="Georgia" w:hAnsi="Georgia"/>
          <w:color w:val="2D2A22"/>
          <w:sz w:val="24"/>
          <w:szCs w:val="24"/>
        </w:rPr>
        <w:t xml:space="preserve">This section governs how CommonGround represents knowledge. It is binding on all alert copy, data layer descriptions, insight summaries, and recommendation text.</w:t>
      </w:r>
    </w:p>
    <w:p>
      <w:pPr>
        <w:pStyle w:val="Heading2"/>
      </w:pPr>
      <w:r>
        <w:t xml:space="preserve">The Three Claim Types</w:t>
      </w:r>
    </w:p>
    <w:p>
      <w:pPr>
        <w:spacing w:before="0" w:after="140"/>
      </w:pPr>
      <w:r>
        <w:rPr>
          <w:rFonts w:ascii="Georgia" w:cs="Georgia" w:eastAsia="Georgia" w:hAnsi="Georgia"/>
          <w:color w:val="2D2A22"/>
          <w:sz w:val="24"/>
          <w:szCs w:val="24"/>
        </w:rPr>
        <w:t xml:space="preserve">Every signal in CommonGround carries explicit metadata about what kind of claim it is:</w:t>
      </w:r>
    </w:p>
    <w:p>
      <w:pPr>
        <w:spacing w:before="0" w:after="100"/>
        <w:ind w:left="360"/>
      </w:pPr>
      <w:r>
        <w:rPr>
          <w:rFonts w:ascii="Georgia" w:cs="Georgia" w:eastAsia="Georgia" w:hAnsi="Georgia"/>
          <w:b/>
          <w:bCs/>
          <w:color w:val="E8861A"/>
          <w:sz w:val="24"/>
          <w:szCs w:val="24"/>
        </w:rPr>
        <w:t xml:space="preserve">Correlation: </w:t>
      </w:r>
      <w:r>
        <w:rPr>
          <w:rFonts w:ascii="Georgia" w:cs="Georgia" w:eastAsia="Georgia" w:hAnsi="Georgia"/>
          <w:color w:val="2D2A22"/>
          <w:sz w:val="24"/>
          <w:szCs w:val="24"/>
        </w:rPr>
        <w:t xml:space="preserve">Two things tend to occur together. We do not know why. Knowing they co-occur is useful for anticipation, not explanation. Always use correlation language: 'is associated with,' 'tends to co-occur with,' 'has preceded in similar contexts.' Never use: 'causes,' 'leads to,' 'results in.'</w:t>
      </w:r>
    </w:p>
    <w:p>
      <w:pPr>
        <w:spacing w:before="0" w:after="100"/>
        <w:ind w:left="360"/>
      </w:pPr>
      <w:r>
        <w:rPr>
          <w:rFonts w:ascii="Georgia" w:cs="Georgia" w:eastAsia="Georgia" w:hAnsi="Georgia"/>
          <w:b/>
          <w:bCs/>
          <w:color w:val="E8861A"/>
          <w:sz w:val="24"/>
          <w:szCs w:val="24"/>
        </w:rPr>
        <w:t xml:space="preserve">Association with known mechanism: </w:t>
      </w:r>
      <w:r>
        <w:rPr>
          <w:rFonts w:ascii="Georgia" w:cs="Georgia" w:eastAsia="Georgia" w:hAnsi="Georgia"/>
          <w:color w:val="2D2A22"/>
          <w:sz w:val="24"/>
          <w:szCs w:val="24"/>
        </w:rPr>
        <w:t xml:space="preserve">A plausible causal pathway is supported by research, but local data does not prove it. We can speak with more confidence than bare correlation, but local application still requires humility. Always name the research basis and the limitation.</w:t>
      </w:r>
    </w:p>
    <w:p>
      <w:pPr>
        <w:spacing w:before="0" w:after="160"/>
        <w:ind w:left="360"/>
      </w:pPr>
      <w:r>
        <w:rPr>
          <w:rFonts w:ascii="Georgia" w:cs="Georgia" w:eastAsia="Georgia" w:hAnsi="Georgia"/>
          <w:b/>
          <w:bCs/>
          <w:color w:val="E8861A"/>
          <w:sz w:val="24"/>
          <w:szCs w:val="24"/>
        </w:rPr>
        <w:t xml:space="preserve">Documented cause: </w:t>
      </w:r>
      <w:r>
        <w:rPr>
          <w:rFonts w:ascii="Georgia" w:cs="Georgia" w:eastAsia="Georgia" w:hAnsi="Georgia"/>
          <w:color w:val="2D2A22"/>
          <w:sz w:val="24"/>
          <w:szCs w:val="24"/>
        </w:rPr>
        <w:t xml:space="preserve">Primary source evidence of a specific causal relationship in this place at this time. Example: a specific landlord filed 23 eviction notices in 60 days. This is not a correlation — it is a documented actor taking a documented action. These claims can be made directly.</w:t>
      </w:r>
    </w:p>
    <w:p>
      <w:pPr>
        <w:pStyle w:val="Heading2"/>
      </w:pPr>
      <w:r>
        <w:t xml:space="preserve">The Recommendation Chain</w:t>
      </w:r>
    </w:p>
    <w:p>
      <w:pPr>
        <w:spacing w:before="0" w:after="140"/>
      </w:pPr>
      <w:r>
        <w:rPr>
          <w:rFonts w:ascii="Georgia" w:cs="Georgia" w:eastAsia="Georgia" w:hAnsi="Georgia"/>
          <w:color w:val="2D2A22"/>
          <w:sz w:val="24"/>
          <w:szCs w:val="24"/>
        </w:rPr>
        <w:t xml:space="preserve">Before any alert surfaces a recommendation, it must complete this chain:</w:t>
      </w:r>
    </w:p>
    <w:p>
      <w:pPr>
        <w:pStyle w:val="ListParagraph"/>
        <w:numPr>
          <w:ilvl w:val="0"/>
          <w:numId w:val="3"/>
        </w:numPr>
        <w:spacing w:before="50" w:after="50"/>
      </w:pPr>
      <w:r>
        <w:rPr>
          <w:rFonts w:ascii="Georgia" w:cs="Georgia" w:eastAsia="Georgia" w:hAnsi="Georgia"/>
          <w:color w:val="2D2A22"/>
          <w:sz w:val="24"/>
          <w:szCs w:val="24"/>
        </w:rPr>
        <w:t xml:space="preserve">What do we actually know? (documented facts only)</w:t>
      </w:r>
    </w:p>
    <w:p>
      <w:pPr>
        <w:pStyle w:val="ListParagraph"/>
        <w:numPr>
          <w:ilvl w:val="0"/>
          <w:numId w:val="3"/>
        </w:numPr>
        <w:spacing w:before="50" w:after="50"/>
      </w:pPr>
      <w:r>
        <w:rPr>
          <w:rFonts w:ascii="Georgia" w:cs="Georgia" w:eastAsia="Georgia" w:hAnsi="Georgia"/>
          <w:color w:val="2D2A22"/>
          <w:sz w:val="24"/>
          <w:szCs w:val="24"/>
        </w:rPr>
        <w:t xml:space="preserve">What are the plausible explanations? (enumerate, do not collapse)</w:t>
      </w:r>
    </w:p>
    <w:p>
      <w:pPr>
        <w:pStyle w:val="ListParagraph"/>
        <w:numPr>
          <w:ilvl w:val="0"/>
          <w:numId w:val="3"/>
        </w:numPr>
        <w:spacing w:before="50" w:after="50"/>
      </w:pPr>
      <w:r>
        <w:rPr>
          <w:rFonts w:ascii="Georgia" w:cs="Georgia" w:eastAsia="Georgia" w:hAnsi="Georgia"/>
          <w:color w:val="2D2A22"/>
          <w:sz w:val="24"/>
          <w:szCs w:val="24"/>
        </w:rPr>
        <w:t xml:space="preserve">What does the data let us distinguish between? (geographic clustering, actor concentration, temporal pattern)</w:t>
      </w:r>
    </w:p>
    <w:p>
      <w:pPr>
        <w:pStyle w:val="ListParagraph"/>
        <w:numPr>
          <w:ilvl w:val="0"/>
          <w:numId w:val="3"/>
        </w:numPr>
        <w:spacing w:before="50" w:after="50"/>
      </w:pPr>
      <w:r>
        <w:rPr>
          <w:rFonts w:ascii="Georgia" w:cs="Georgia" w:eastAsia="Georgia" w:hAnsi="Georgia"/>
          <w:color w:val="2D2A22"/>
          <w:sz w:val="24"/>
          <w:szCs w:val="24"/>
        </w:rPr>
        <w:t xml:space="preserve">What action is proportionate to what we actually know? (match confidence of diagnosis to specificity of recommendation)</w:t>
      </w:r>
    </w:p>
    <w:p>
      <w:pPr>
        <w:spacing w:before="120" w:after="0"/>
      </w:pPr>
      <w:r>
        <w:t xml:space="preserve"/>
      </w:r>
    </w:p>
    <w:p>
      <w:pPr>
        <w:spacing w:before="0" w:after="140"/>
      </w:pPr>
      <w:r>
        <w:rPr>
          <w:rFonts w:ascii="Georgia" w:cs="Georgia" w:eastAsia="Georgia" w:hAnsi="Georgia"/>
          <w:color w:val="2D2A22"/>
          <w:sz w:val="24"/>
          <w:szCs w:val="24"/>
        </w:rPr>
        <w:t xml:space="preserve">The recommendation must match the confidence level of the diagnosis. A diffuse systemic pattern generates a different recommendation than a concentrated actor pattern, even if the measured outcome is identical.</w:t>
      </w:r>
    </w:p>
    <w:p>
      <w:pPr>
        <w:pStyle w:val="Heading2"/>
      </w:pPr>
      <w:r>
        <w:t xml:space="preserve">Why This Matters</w:t>
      </w:r>
    </w:p>
    <w:p>
      <w:pPr>
        <w:spacing w:before="0" w:after="140"/>
      </w:pPr>
      <w:r>
        <w:rPr>
          <w:rFonts w:ascii="Georgia" w:cs="Georgia" w:eastAsia="Georgia" w:hAnsi="Georgia"/>
          <w:color w:val="2D2A22"/>
          <w:sz w:val="24"/>
          <w:szCs w:val="24"/>
        </w:rPr>
        <w:t xml:space="preserve">Misrepresenting correlation as causation in a community intelligence tool causes specific, predictable harms: it misidentifies who to hold accountable, generates interventions aimed at symptoms rather than sources, and erodes trust among communities that have been on the receiving end of bad data-driven decisions.</w:t>
      </w:r>
    </w:p>
    <w:p>
      <w:pPr>
        <w:spacing w:before="0" w:after="140"/>
      </w:pPr>
      <w:r>
        <w:rPr>
          <w:rFonts w:ascii="Georgia" w:cs="Georgia" w:eastAsia="Georgia" w:hAnsi="Georgia"/>
          <w:color w:val="2D2A22"/>
          <w:sz w:val="24"/>
          <w:szCs w:val="24"/>
        </w:rPr>
        <w:t xml:space="preserve">In the current information environment, a tool that models epistemic humility is itself a form of resistance.</w:t>
      </w:r>
    </w:p>
    <w:p>
      <w:pPr>
        <w:pStyle w:val="Heading1"/>
      </w:pPr>
      <w:r>
        <w:t xml:space="preserve">VI. Governance</w:t>
      </w:r>
    </w:p>
    <w:p>
      <w:pPr>
        <w:spacing w:before="0" w:after="140"/>
      </w:pPr>
      <w:r>
        <w:rPr>
          <w:rFonts w:ascii="Georgia" w:cs="Georgia" w:eastAsia="Georgia" w:hAnsi="Georgia"/>
          <w:color w:val="2D2A22"/>
          <w:sz w:val="24"/>
          <w:szCs w:val="24"/>
        </w:rPr>
        <w:t xml:space="preserve">CommonGround is governed in phases toward community sovereignty — a state where no single person or institution controls or compromises the platform.</w:t>
      </w:r>
    </w:p>
    <w:p>
      <w:pPr>
        <w:pStyle w:val="Heading2"/>
      </w:pPr>
      <w:r>
        <w:t xml:space="preserve">Phase 1: Founding (Current)</w:t>
      </w:r>
    </w:p>
    <w:p>
      <w:pPr>
        <w:spacing w:before="0" w:after="140"/>
      </w:pPr>
      <w:r>
        <w:rPr>
          <w:rFonts w:ascii="Georgia" w:cs="Georgia" w:eastAsia="Georgia" w:hAnsi="Georgia"/>
          <w:color w:val="2D2A22"/>
          <w:sz w:val="24"/>
          <w:szCs w:val="24"/>
        </w:rPr>
        <w:t xml:space="preserve">Single founder. Full decision-making authority except over Section IV commitments. Obligations: all privacy-affecting decisions are publicly documented; a decision log is maintained from day one; no proprietary dependencies are introduced; codebase is AGPL-3.0 from first public commit.</w:t>
      </w:r>
    </w:p>
    <w:p>
      <w:pPr>
        <w:pStyle w:val="Heading2"/>
      </w:pPr>
      <w:r>
        <w:t xml:space="preserve">Phase 2: Stewardship Council</w:t>
      </w:r>
    </w:p>
    <w:p>
      <w:pPr>
        <w:spacing w:before="0" w:after="140"/>
      </w:pPr>
      <w:r>
        <w:rPr>
          <w:rFonts w:ascii="Georgia" w:cs="Georgia" w:eastAsia="Georgia" w:hAnsi="Georgia"/>
          <w:color w:val="2D2A22"/>
          <w:sz w:val="24"/>
          <w:szCs w:val="24"/>
        </w:rPr>
        <w:t xml:space="preserve">Formed before any real community deployment. Stewards hold veto power over decisions that could harm represented communities. Selection criteria: direct community work experience; geographic representation; no affiliation with extractive industries; comfort with values, not necessarily technology. Governance rights are proportional to exposure to harm, not technical contribution.</w:t>
      </w:r>
    </w:p>
    <w:p>
      <w:pPr>
        <w:pStyle w:val="Heading2"/>
      </w:pPr>
      <w:r>
        <w:t xml:space="preserve">Phase 3: Community Sovereignty</w:t>
      </w:r>
    </w:p>
    <w:p>
      <w:pPr>
        <w:spacing w:before="0" w:after="140"/>
      </w:pPr>
      <w:r>
        <w:rPr>
          <w:rFonts w:ascii="Georgia" w:cs="Georgia" w:eastAsia="Georgia" w:hAnsi="Georgia"/>
          <w:color w:val="2D2A22"/>
          <w:sz w:val="24"/>
          <w:szCs w:val="24"/>
        </w:rPr>
        <w:t xml:space="preserve">Federated local instances, each governed independently. No single-org dependency. Foundation or fiscal sponsor structure. Documentation sufficient for any community to fork, self-host, and govern independently.</w:t>
      </w:r>
    </w:p>
    <w:p>
      <w:pPr>
        <w:pStyle w:val="Heading1"/>
      </w:pPr>
      <w:r>
        <w:t xml:space="preserve">VII. Licensing</w:t>
      </w:r>
    </w:p>
    <w:p>
      <w:pPr>
        <w:spacing w:before="0" w:after="80"/>
      </w:pPr>
      <w:r>
        <w:rPr>
          <w:rFonts w:ascii="Georgia" w:cs="Georgia" w:eastAsia="Georgia" w:hAnsi="Georgia"/>
          <w:b/>
          <w:bCs/>
          <w:color w:val="E8861A"/>
          <w:sz w:val="24"/>
          <w:szCs w:val="24"/>
        </w:rPr>
        <w:t xml:space="preserve">Codebase: </w:t>
      </w:r>
      <w:r>
        <w:rPr>
          <w:rFonts w:ascii="Georgia" w:cs="Georgia" w:eastAsia="Georgia" w:hAnsi="Georgia"/>
          <w:color w:val="2D2A22"/>
          <w:sz w:val="24"/>
          <w:szCs w:val="24"/>
        </w:rPr>
        <w:t xml:space="preserve">AGPL-3.0. All modifications must be released under the same license.</w:t>
      </w:r>
    </w:p>
    <w:p>
      <w:pPr>
        <w:spacing w:before="0" w:after="80"/>
      </w:pPr>
      <w:r>
        <w:rPr>
          <w:rFonts w:ascii="Georgia" w:cs="Georgia" w:eastAsia="Georgia" w:hAnsi="Georgia"/>
          <w:b/>
          <w:bCs/>
          <w:color w:val="E8861A"/>
          <w:sz w:val="24"/>
          <w:szCs w:val="24"/>
        </w:rPr>
        <w:t xml:space="preserve">Data outputs: </w:t>
      </w:r>
      <w:r>
        <w:rPr>
          <w:rFonts w:ascii="Georgia" w:cs="Georgia" w:eastAsia="Georgia" w:hAnsi="Georgia"/>
          <w:color w:val="2D2A22"/>
          <w:sz w:val="24"/>
          <w:szCs w:val="24"/>
        </w:rPr>
        <w:t xml:space="preserve">CC BY-SA 4.0. Share freely, attribute the community, keep it open.</w:t>
      </w:r>
    </w:p>
    <w:p>
      <w:pPr>
        <w:spacing w:before="0" w:after="80"/>
      </w:pPr>
      <w:r>
        <w:rPr>
          <w:rFonts w:ascii="Georgia" w:cs="Georgia" w:eastAsia="Georgia" w:hAnsi="Georgia"/>
          <w:b/>
          <w:bCs/>
          <w:color w:val="E8861A"/>
          <w:sz w:val="24"/>
          <w:szCs w:val="24"/>
        </w:rPr>
        <w:t xml:space="preserve">These principles: </w:t>
      </w:r>
      <w:r>
        <w:rPr>
          <w:rFonts w:ascii="Georgia" w:cs="Georgia" w:eastAsia="Georgia" w:hAnsi="Georgia"/>
          <w:color w:val="2D2A22"/>
          <w:sz w:val="24"/>
          <w:szCs w:val="24"/>
        </w:rPr>
        <w:t xml:space="preserve">CC0 1.0. No rights reserved. Take them, adapt them, use them.</w:t>
      </w:r>
    </w:p>
    <w:p>
      <w:pPr>
        <w:spacing w:before="0" w:after="80"/>
      </w:pPr>
      <w:r>
        <w:rPr>
          <w:rFonts w:ascii="Georgia" w:cs="Georgia" w:eastAsia="Georgia" w:hAnsi="Georgia"/>
          <w:b/>
          <w:bCs/>
          <w:color w:val="E8861A"/>
          <w:sz w:val="24"/>
          <w:szCs w:val="24"/>
        </w:rPr>
        <w:t xml:space="preserve">Community contributions: </w:t>
      </w:r>
      <w:r>
        <w:rPr>
          <w:rFonts w:ascii="Georgia" w:cs="Georgia" w:eastAsia="Georgia" w:hAnsi="Georgia"/>
          <w:color w:val="2D2A22"/>
          <w:sz w:val="24"/>
          <w:szCs w:val="24"/>
        </w:rPr>
        <w:t xml:space="preserve">CC BY 4.0 by default, with explicit consent at point of contribution.</w:t>
      </w:r>
    </w:p>
    <w:p>
      <w:pPr>
        <w:spacing w:before="240" w:after="0"/>
      </w:pPr>
      <w:r>
        <w:t xml:space="preserve"/>
      </w:r>
    </w:p>
    <w:p>
      <w:pPr>
        <w:spacing w:before="0" w:after="80"/>
      </w:pPr>
      <w:r>
        <w:rPr>
          <w:rFonts w:ascii="Georgia" w:cs="Georgia" w:eastAsia="Georgia" w:hAnsi="Georgia"/>
          <w:b/>
          <w:bCs/>
          <w:i/>
          <w:iCs/>
          <w:color w:val="5A7A32"/>
          <w:sz w:val="26"/>
          <w:szCs w:val="26"/>
        </w:rPr>
        <w:t xml:space="preserve">The people know their neighborhoods. CommonGround helps them act on what they already know.</w:t>
      </w:r>
    </w:p>
    <w:p>
      <w:pPr>
        <w:spacing w:before="0" w:after="140"/>
      </w:pPr>
      <w:r>
        <w:rPr>
          <w:rFonts w:ascii="Georgia" w:cs="Georgia" w:eastAsia="Georgia" w:hAnsi="Georgia"/>
          <w:color w:val="8A9A78"/>
          <w:sz w:val="24"/>
          <w:szCs w:val="24"/>
        </w:rPr>
        <w:t xml:space="preserve">v0.1: Initial Compact, March 2026. v0.2: Expanded epistemic standards, protest safety layer rationale, solarpunk commitment formalized.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7A32" w:sz="4" w:space="4"/>
      </w:pBdr>
    </w:pPr>
    <w:r>
      <w:rPr>
        <w:rFonts w:ascii="Courier New" w:cs="Courier New" w:eastAsia="Courier New" w:hAnsi="Courier New"/>
        <w:color w:val="8A9A78"/>
        <w:sz w:val="14"/>
        <w:szCs w:val="14"/>
      </w:rPr>
      <w:t xml:space="preserve">Guiding Principles v0.2  ·  Public Document  ·  CC BY-SA 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7A32" w:sz="4" w:space="4"/>
      </w:pBdr>
    </w:pPr>
    <w:r>
      <w:rPr>
        <w:rFonts w:ascii="Courier New" w:cs="Courier New" w:eastAsia="Courier New" w:hAnsi="Courier New"/>
        <w:b/>
        <w:bCs/>
        <w:color w:val="7FA843"/>
        <w:sz w:val="16"/>
        <w:szCs w:val="16"/>
      </w:rPr>
      <w:t xml:space="preserve">COMMONGROUND  //  </w:t>
    </w:r>
    <w:r>
      <w:rPr>
        <w:rFonts w:ascii="Courier New" w:cs="Courier New" w:eastAsia="Courier New" w:hAnsi="Courier New"/>
        <w:color w:val="8A9A78"/>
        <w:sz w:val="16"/>
        <w:szCs w:val="16"/>
      </w:rPr>
      <w:t xml:space="preserve">Guiding Principles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A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5A7A32" w:sz="6" w:space="4"/>
      </w:pBdr>
      <w:spacing w:before="400" w:after="120"/>
      <w:outlineLvl w:val="0"/>
    </w:pPr>
    <w:rPr>
      <w:rFonts w:ascii="Courier New" w:cs="Courier New" w:eastAsia="Courier New" w:hAnsi="Courier New"/>
      <w:b/>
      <w:bCs/>
      <w:caps/>
      <w:color w:val="5A7A32"/>
      <w:sz w:val="30"/>
      <w:szCs w:val="30"/>
    </w:rPr>
  </w:style>
  <w:style w:type="paragraph" w:styleId="Heading2">
    <w:name w:val="Heading 2"/>
    <w:basedOn w:val="Normal"/>
    <w:next w:val="Normal"/>
    <w:qFormat/>
    <w:pPr>
      <w:spacing w:before="300" w:after="80"/>
      <w:outlineLvl w:val="1"/>
    </w:pPr>
    <w:rPr>
      <w:rFonts w:ascii="Courier New" w:cs="Courier New" w:eastAsia="Courier New" w:hAnsi="Courier New"/>
      <w:b/>
      <w:bCs/>
      <w:color w:val="E8861A"/>
      <w:sz w:val="25"/>
      <w:szCs w:val="25"/>
    </w:rPr>
  </w:style>
  <w:style w:type="paragraph" w:styleId="Heading3">
    <w:name w:val="Heading 3"/>
    <w:basedOn w:val="Normal"/>
    <w:next w:val="Normal"/>
    <w:qFormat/>
    <w:pPr>
      <w:spacing w:before="200" w:after="60"/>
      <w:outlineLvl w:val="2"/>
    </w:pPr>
    <w:rPr>
      <w:rFonts w:ascii="Courier New" w:cs="Courier New" w:eastAsia="Courier New" w:hAnsi="Courier New"/>
      <w:b/>
      <w:bCs/>
      <w:color w:val="8A9A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2026-03-18T08:43:21.179Z</dcterms:created>
  <dcterms:modified xsi:type="dcterms:W3CDTF">2026-03-18T08:43:21.181Z</dcterms:modified>
</cp:coreProperties>
</file>

<file path=docProps/custom.xml><?xml version="1.0" encoding="utf-8"?>
<Properties xmlns="http://schemas.openxmlformats.org/officeDocument/2006/custom-properties" xmlns:vt="http://schemas.openxmlformats.org/officeDocument/2006/docPropsVTypes"/>
</file>