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rPr>
          <w:rFonts w:ascii="Courier New" w:cs="Courier New" w:eastAsia="Courier New" w:hAnsi="Courier New"/>
          <w:b/>
          <w:bCs/>
          <w:caps/>
          <w:color w:val="7FA843"/>
          <w:sz w:val="52"/>
          <w:szCs w:val="52"/>
        </w:rPr>
        <w:t xml:space="preserve">CommonGround</w:t>
      </w:r>
    </w:p>
    <w:p>
      <w:pPr>
        <w:spacing w:before="0" w:after="0"/>
      </w:pPr>
      <w:r>
        <w:rPr>
          <w:rFonts w:ascii="Georgia" w:cs="Georgia" w:eastAsia="Georgia" w:hAnsi="Georgia"/>
          <w:i/>
          <w:iCs/>
          <w:color w:val="8A9A78"/>
          <w:sz w:val="28"/>
          <w:szCs w:val="28"/>
        </w:rPr>
        <w:t xml:space="preserve">Insights Registry &amp; Project Plan</w:t>
      </w:r>
    </w:p>
    <w:p>
      <w:pPr>
        <w:pBdr>
          <w:bottom w:val="single" w:color="7FA843" w:sz="10" w:space="6"/>
        </w:pBdr>
        <w:spacing w:before="60" w:after="0"/>
      </w:pPr>
      <w:r>
        <w:rPr>
          <w:rFonts w:ascii="Courier New" w:cs="Courier New" w:eastAsia="Courier New" w:hAnsi="Courier New"/>
          <w:color w:val="E8861A"/>
          <w:sz w:val="18"/>
          <w:szCs w:val="18"/>
        </w:rPr>
        <w:t xml:space="preserve">v0.1  ·  March 2026</w:t>
      </w:r>
    </w:p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I. Planned Cross-Layer Insights</w:t>
      </w:r>
    </w:p>
    <w:p>
      <w:pPr>
        <w:spacing w:before="0" w:after="14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These are the intelligence products CommonGround aims to generate by combining multiple public data sources. Each insight is a hypothesis about what the data mashup can reveal. All are labeled with their claim type per the Guiding Principles epistemic standards.</w:t>
      </w:r>
    </w:p>
    <w:p>
      <w:pPr>
        <w:pStyle w:val="Heading2"/>
      </w:pPr>
      <w:r>
        <w:t xml:space="preserve">Displacement &amp; Housing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[CORRELATION] Eviction filing rate + renovation permit spike + SNAP enrollment drop in same tract = early displacement pressure signature. Historical precedent in comparable cities suggests 4–8 week lead time before measurable population change.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[MECHANISM] LLC property purchase clustering (Register of Deeds) + Eviction Lab filings by same beneficial owner = speculative landlord network identification. Research on private equity housing establishes the mechanism; local data documents the specific actors.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[CORRELATION] HUD CHAS cost burden + CDC SVI housing theme + CCAP eviction density = composite housing vulnerability score. Higher composite scores predict shelter demand spikes in crisis contexts.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[DOCUMENTED] Single plaintiff filing 5+ evictions in 30 days = serial filer flag. No inference required — this is a documented actor pattern.</w:t>
      </w:r>
    </w:p>
    <w:p>
      <w:pPr>
        <w:pStyle w:val="Heading2"/>
      </w:pPr>
      <w:r>
        <w:t xml:space="preserve">Food Security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[CORRELATION] USDA food desert designation + absence of 211-listed pantries + absence of community fridges within 1mi = food access coverage gap. Gaps cluster near transit deserts, compounding access barriers.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[CORRELATION] SNAP retailer authorization lapses (USDA monthly data) + food desert designation = access deterioration signal. When the one authorized retailer in a food desert loses authorization, the tract's effective access drops to zero.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[MECHANISM] High CDC SVI + food desert designation + severe weather event = compounding food access crisis. Literature on disaster food insecurity establishes the mechanism; data combination identifies the at-risk population.</w:t>
      </w:r>
    </w:p>
    <w:p>
      <w:pPr>
        <w:pStyle w:val="Heading2"/>
      </w:pPr>
      <w:r>
        <w:t xml:space="preserve">Environmental Justice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[MECHANISM] EPA EJScreen top quartile + CDC SVI top quartile = double-burden census tracts. Residents face both elevated pollution exposure and reduced capacity to respond. Environmental justice literature establishes this as a structural harm pattern.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[CORRELATION] Urban heat island intensity (Sentinel-2 NDVI/LST) + absence of tree canopy + high SVI = heat vulnerability map. Low-canopy areas in vulnerable tracts face disproportionate heat stress during extreme weather events.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[DOCUMENTED] EPA AirNow AQI + NWS wind direction = real-time chemical dispersion awareness. This is physics, not inference. Wind direction determines where airborne particulates travel.</w:t>
      </w:r>
    </w:p>
    <w:p>
      <w:pPr>
        <w:pStyle w:val="Heading2"/>
      </w:pPr>
      <w:r>
        <w:t xml:space="preserve">Civic &amp; Surveillance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[CORRELATION] ALPR density (DeFlock) + high-SVI tracts = surveillance burden map. Surveillance infrastructure is not evenly distributed; co-occurrence with vulnerable populations is a documented pattern in comparable cities.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[DOCUMENTED] Open public comment period + housing stress indicators in affected area = civic action window. The proceeding is documented; the vulnerability of the affected area is documented; the combination creates a time-limited organizing opportunity.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[CORRELATION] Polling place change (election data) + transit desert designation + high SVI = voter access barrier signal. Documented in electoral research as a mechanism for disenfranchisement.</w:t>
      </w:r>
    </w:p>
    <w:p>
      <w:pPr>
        <w:pStyle w:val="Heading2"/>
      </w:pPr>
      <w:r>
        <w:t xml:space="preserve">Community Resilience (Asset Layer)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[DOCUMENTED] Mutual aid coverage radius + high-SVI census tracts = coverage map and gap map. The gap is the organizing opportunity.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[CORRELATION] Mutual aid group density + food pantry density + FQHC proximity = community resilience composite. Areas with higher asset density recover faster from shocks in comparable research.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[DOCUMENTED] Self-reported resource status (fridges, pantries, supply drives) + geographic clustering = real-time community capacity map. The most useful layer because it reflects actual community action.</w:t>
      </w:r>
    </w:p>
    <w:p>
      <w:pPr>
        <w:pStyle w:val="Heading2"/>
      </w:pPr>
      <w:r>
        <w:t xml:space="preserve">Assembly &amp; Safety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[DOCUMENTED] NWS wind direction + AQI + permitted assembly location = chemical dispersion awareness briefing. Symmetric public information, presented in a format useful for safety planning.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[DOCUMENTED] FQHC + urgent care + hospital locations + assembly location = medical access briefing. Standard safety information compiled from public sources.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[CORRELATION] Permit route geometry + OSM street network + traffic closures = crowd flow and exit route analysis. Urban design research establishes the relationship between street geometry and crowd movement.</w:t>
      </w:r>
    </w:p>
    <w:p>
      <w:pPr>
        <w:pStyle w:val="Heading1"/>
      </w:pPr>
      <w:r>
        <w:t xml:space="preserve">II. Project Plan</w:t>
      </w:r>
    </w:p>
    <w:p>
      <w:pPr>
        <w:pStyle w:val="Heading2"/>
      </w:pPr>
      <w:r>
        <w:t xml:space="preserve">Phase 1: Foundation (Months 1–3)</w:t>
      </w:r>
    </w:p>
    <w:p>
      <w:pPr>
        <w:spacing w:before="0" w:after="14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Objectives: Working map with static layers, data pipeline architecture, public repository, Compact published.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Set up public GitHub repository (AGPL-3.0 license, README, Compact in /docs)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Stack decision: PostGIS + Node/Express API + MapLibre GL JS frontend (local bundle, no CDN dependency)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Ingest Phase 1 data sources: USDA Atlas, EPA EJScreen, CDC SVI, NWS API, HUD CHAS, HRSA FQHCs, MutualAidHub, 211 WI, OpenStreetMap via Overpass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Build aggregate-only data pipeline: all individual-level source records are aggregated before storage; raw data never touches the application database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Implement trust rating and claim type metadata schema for all layers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Deploy static alert templates for Tier 3 informational alerts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Publish decision log (simple markdown file in /docs/decisions)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Green Bay pilot: verify data coverage for Brown County across all Phase 1 sources</w:t>
      </w:r>
    </w:p>
    <w:p>
      <w:pPr>
        <w:pStyle w:val="Heading2"/>
      </w:pPr>
      <w:r>
        <w:t xml:space="preserve">Phase 2: Intelligence Layer (Months 4–6)</w:t>
      </w:r>
    </w:p>
    <w:p>
      <w:pPr>
        <w:spacing w:before="0" w:after="14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Objectives: Cross-layer signal engine, Tier 1 and Tier 2 alerts, legal review for CCAP scraping, Stewardship Council formation begins.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Build cross-layer signal engine: configurable rules that combine multiple data sources and emit alerts with claim type, confidence, and recommendation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Implement Eviction Lab + NWS + EJScreen alert triggers (T1-H01, T1-E01, T2-H01, T2-ENV01)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Begin CCAP scraping research: consult with Wisconsin open records attorney before implementation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DeFlock data integration (Phase 2 source)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Self-reported resource layer: simple form for mutual aid groups to register and update status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Recruit Stewardship Council: 3–5 people with direct community work experience in Green Bay / Fox Valley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ActivityPub spike: prototype alert publication as ActivityPub objects for Fediverse distribution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First community feedback session with potential users</w:t>
      </w:r>
    </w:p>
    <w:p>
      <w:pPr>
        <w:pStyle w:val="Heading2"/>
      </w:pPr>
      <w:r>
        <w:t xml:space="preserve">Phase 3: Federation &amp; Sovereignty (Months 7–12)</w:t>
      </w:r>
    </w:p>
    <w:p>
      <w:pPr>
        <w:spacing w:before="0" w:after="14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Objectives: Self-hostable instance architecture, Stewardship Council operational, ActivityPub federation between instances.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Containerize full stack (Docker Compose) for self-hosted deployment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Write self-hosting documentation: one-page quickstart for a non-developer community org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Implement ActivityPub federation: instances share alert schema and can subscribe to each other's alert feeds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Stewardship Council governance: formal veto process documented and operational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Sentinel-2 satellite data integration for urban heat island layer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Property ownership network layer: Brown County Register of Deeds + LLC cross-reference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Second community feedback session; governance review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Evaluate fiscal sponsorship: approach Open Collective, Code for America, or EFF</w:t>
      </w:r>
    </w:p>
    <w:p>
      <w:pPr>
        <w:pStyle w:val="Heading1"/>
      </w:pPr>
      <w:r>
        <w:t xml:space="preserve">III. Claude Executor Prompt</w:t>
      </w:r>
    </w:p>
    <w:p>
      <w:pPr>
        <w:spacing w:before="0" w:after="140"/>
      </w:pPr>
      <w:r>
        <w:rPr>
          <w:rFonts w:ascii="Georgia" w:cs="Georgia" w:eastAsia="Georgia" w:hAnsi="Georgia"/>
          <w:color w:val="2D2A22"/>
          <w:sz w:val="24"/>
          <w:szCs w:val="24"/>
        </w:rPr>
        <w:t xml:space="preserve">The following prompt is designed to be pasted into a fresh Claude conversation to execute Phase 1 development. It contains the full context needed without requiring access to this conversation history.</w:t>
      </w:r>
    </w:p>
    <w:p>
      <w:pPr>
        <w:spacing w:before="80" w:after="0"/>
      </w:pPr>
      <w:r>
        <w:t xml:space="preserve"/>
      </w:r>
    </w:p>
    <w:p>
      <w:pPr>
        <w:pBdr>
          <w:top w:val="single" w:color="E8861A" w:sz="4" w:space="4"/>
          <w:bottom w:val="single" w:color="E8861A" w:sz="4" w:space="4"/>
          <w:right w:val="single" w:color="E8861A" w:sz="4" w:space="4"/>
        </w:pBdr>
        <w:shd w:fill="2D1F0E" w:val="clear"/>
        <w:spacing w:before="0" w:after="0"/>
      </w:pPr>
      <w:r>
        <w:t xml:space="preserve"> </w:t>
      </w:r>
    </w:p>
    <w:p>
      <w:pPr>
        <w:shd w:fill="2D1F0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0CC"/>
          <w:sz w:val="18"/>
          <w:szCs w:val="18"/>
        </w:rPr>
        <w:t xml:space="preserve">You are helping build CommonGround, a civic community intelligence platform for mutual aid groups, tenant advocates, neighborhood associations, and community organizers. It is a map-based tool that layers public data sources to surface actionable insights for communities — not institutions.
CORE PRINCIPLES (non-negotiable):
- All data is public-source and aggregate-only. No individual tracking. No data sold or shared with law enforcement.
- All correlations are labeled as correlations. Causal claims require primary source evidence. Uncertainty is always named.
- Architecture enforces privacy technically, not just by policy. Raw individual-level records never touch the application database.
- Licensed AGPL-3.0. All modifications must remain open source.
- Designed for self-hosting and federation. No proprietary dependencies.
TECH STACK:
- Backend: Node.js + Express + PostGIS (PostgreSQL with spatial extension)
- Frontend: MapLibre GL JS (bundled locally — no CDN dependency)
- Data pipelines: Node.js scripts for ingestion and aggregation
- Deployment target: Docker Compose, self-hostable
- Repository: Public GitHub, AGPL-3.0
PHASE 1 TASK — build the following:
1. PROJECT STRUCTURE
   Create a monorepo with: /api (Express backend), /frontend (MapLibre app), /ingest (data pipeline scripts), /docs (Compact, decision log, data registry), /docker (Compose files)
2. DATA PIPELINES — write ingest scripts for these Phase 1 sources:
   - USDA Food Access Research Atlas (CSV download, aggregate to tract)
   - EPA EJScreen (API or bulk CSV, aggregate to block group)
   - CDC Social Vulnerability Index (CSV, aggregate to tract)
   - HRSA FQHCs (API, point locations)
   - NWS current conditions and alerts (api.weather.gov, no key required)
   - MutualAidHub directory (API or scrape)
   - OpenStreetMap community assets via Overpass API (food-related, health, community amenities)
   Each pipeline must: fetch source data, aggregate to minimum geographic level, strip any individual identifiers, load to PostGIS, log source name + fetch timestamp + record count.
3. POSTDB SCHEMA
   Tables: layers (layer metadata, trust rating, claim type, update frequency), features (geom, layer_id, properties JSONB, aggregation_level, last_updated), alerts (id, alert_type, claim_type, severity, trigger_conditions JSONB, affected_geom, recommendation, caution, created_at, sources TEXT[])
   The schema must make it structurally impossible to store individual-level records — minimum geometry is census tract (not parcel, not address).
4. API ENDPOINTS
   GET /layers — list all available layers with metadata
   GET /features?layer=X&amp;bbox=W,S,E,N — GeoJSON features for a layer within a bounding box
   GET /alerts?bbox=W,S,E,N&amp;severity=X — active alerts for an area
   GET /weather?lat=X&amp;lon=Y — current NWS conditions and alerts
   POST /resources — submit a community resource (mutual aid group, free fridge) — requires basic validation
5. FRONTEND MAP
   MapLibre GL JS application (single HTML file + bundled JS, no external CDN calls).
   Features: layer toggle panel, alert sidebar, map markers with popup details, NWS weather widget, basic search by address.
   Design language: solarpunk brutalism — warm earth tones (soil #1A1208, bark #2D1F0E, leaf #5A7A32, sprout #7FA843, amber #D4A017), Courier New for labels and UI chrome, Georgia for body text. Dark theme. Dense but legible information hierarchy.
   Every alert and layer popup must display: claim type (CORRELATION / MECHANISM / DOCUMENTED), data sources, last updated, and epistemic caution.
6. DOCKER COMPOSE
   Services: postgres (with PostGIS extension), api, frontend (nginx), ingest (cron-based). One command to start the full stack locally.
7. DOCS
   /docs/COMPACT.md — the CommonGround Community Compact (provided separately)
   /docs/DECISIONS.md — start the decision log with an entry for each architectural choice made during Phase 1
   /docs/DATA-REGISTRY.md — one entry per data source: name, URL, license, trust rating, aggregate level, weaponization risk, mitigation
WHAT NOT TO BUILD:
- No user accounts or authentication in Phase 1
- No individual-level data display of any kind
- No external analytics or tracking scripts
- No proprietary map tile providers (use OpenStreetMap/MapLibre default style or build a simple custom style)
Start with the project structure and PostGIS schema. Ask clarifying questions only if a decision would meaningfully affect the architecture. Otherwise proceed with the most privacy-protective and community-aligned interpretation.</w:t>
      </w:r>
    </w:p>
    <w:p>
      <w:pPr>
        <w:pBdr>
          <w:bottom w:val="single" w:color="E8861A" w:sz="4" w:space="4"/>
          <w:right w:val="single" w:color="E8861A" w:sz="4" w:space="4"/>
        </w:pBdr>
        <w:shd w:fill="2D1F0E" w:val="clear"/>
        <w:spacing w:before="0" w:after="200"/>
      </w:pPr>
      <w:r>
        <w:t xml:space="preserve"> </w:t>
      </w:r>
    </w:p>
    <w:p>
      <w:pPr>
        <w:spacing w:before="120" w:after="0"/>
      </w:pPr>
      <w:r>
        <w:t xml:space="preserve"/>
      </w: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8A9A78"/>
          <w:sz w:val="24"/>
          <w:szCs w:val="24"/>
        </w:rPr>
        <w:t xml:space="preserve">Copy everything between the amber borders and paste it into a fresh Claude conversation. The prompt is self-contained — it does not require access to prior conversation history. For Phase 2 execution, a separate prompt will be generated once Phase 1 is complete and the codebase exists as context.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A7A32" w:sz="4" w:space="4"/>
      </w:pBdr>
    </w:pPr>
    <w:r>
      <w:rPr>
        <w:rFonts w:ascii="Courier New" w:cs="Courier New" w:eastAsia="Courier New" w:hAnsi="Courier New"/>
        <w:color w:val="8A9A78"/>
        <w:sz w:val="14"/>
        <w:szCs w:val="14"/>
      </w:rPr>
      <w:t xml:space="preserve">Project Plan v0.1  ·  Public Document  ·  CC BY-SA 4.0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A7A32" w:sz="4" w:space="4"/>
      </w:pBdr>
    </w:pPr>
    <w:r>
      <w:rPr>
        <w:rFonts w:ascii="Courier New" w:cs="Courier New" w:eastAsia="Courier New" w:hAnsi="Courier New"/>
        <w:b/>
        <w:bCs/>
        <w:color w:val="7FA843"/>
        <w:sz w:val="16"/>
        <w:szCs w:val="16"/>
      </w:rPr>
      <w:t xml:space="preserve">COMMONGROUND  //  </w:t>
    </w:r>
    <w:r>
      <w:rPr>
        <w:rFonts w:ascii="Courier New" w:cs="Courier New" w:eastAsia="Courier New" w:hAnsi="Courier New"/>
        <w:color w:val="8A9A78"/>
        <w:sz w:val="16"/>
        <w:szCs w:val="16"/>
      </w:rPr>
      <w:t xml:space="preserve">Insights &amp;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D2A2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FA843" w:sz="6" w:space="4"/>
      </w:pBdr>
      <w:spacing w:before="400" w:after="120"/>
      <w:outlineLvl w:val="0"/>
    </w:pPr>
    <w:rPr>
      <w:rFonts w:ascii="Courier New" w:cs="Courier New" w:eastAsia="Courier New" w:hAnsi="Courier New"/>
      <w:b/>
      <w:bCs/>
      <w:caps/>
      <w:color w:val="7FA843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80"/>
      <w:outlineLvl w:val="1"/>
    </w:pPr>
    <w:rPr>
      <w:rFonts w:ascii="Courier New" w:cs="Courier New" w:eastAsia="Courier New" w:hAnsi="Courier New"/>
      <w:b/>
      <w:bCs/>
      <w:color w:val="E8861A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Courier New" w:cs="Courier New" w:eastAsia="Courier New" w:hAnsi="Courier New"/>
      <w:b/>
      <w:bCs/>
      <w:color w:val="8A9A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2026-03-18T08:43:21.218Z</dcterms:created>
  <dcterms:modified xsi:type="dcterms:W3CDTF">2026-03-18T08:43:21.218Z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