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pacing w:lineRule="auto" w:line="360" w:before="480" w:after="0"/>
        <w:ind w:left="0" w:hanging="0"/>
        <w:contextualSpacing/>
        <w:outlineLvl w:val="0"/>
        <w:rPr>
          <w:rFonts w:ascii="Times New Roman" w:hAnsi="Times New Roman" w:eastAsia="Times New Roman" w:cs="Arial"/>
          <w:b/>
          <w:b/>
          <w:bCs/>
          <w:kern w:val="2"/>
          <w:sz w:val="24"/>
          <w:szCs w:val="24"/>
        </w:rPr>
      </w:pPr>
      <w:r>
        <w:rPr>
          <w:rFonts w:eastAsia="Times New Roman" w:cs="Arial" w:ascii="Times New Roman" w:hAnsi="Times New Roman"/>
          <w:b/>
          <w:bCs/>
          <w:kern w:val="2"/>
          <w:sz w:val="24"/>
          <w:szCs w:val="24"/>
        </w:rPr>
        <w:t xml:space="preserve">CIX DOCTOR CHRISTOPHER OLDMEADOW  </w:t>
      </w:r>
    </w:p>
    <w:p>
      <w:pPr>
        <w:pStyle w:val="Normal"/>
        <w:rPr>
          <w:rFonts w:ascii="Times New Roman" w:hAnsi="Times New Roman" w:eastAsia="Calibri" w:cs="Times New Roman"/>
          <w:i/>
          <w:i/>
          <w:iCs/>
          <w:color w:val="000000"/>
          <w:sz w:val="24"/>
          <w:szCs w:val="24"/>
        </w:rPr>
      </w:pPr>
      <w:r>
        <w:rPr>
          <w:rFonts w:eastAsia="Calibri" w:cs="Times New Roman" w:ascii="Times New Roman" w:hAnsi="Times New Roman"/>
          <w:b/>
          <w:bCs/>
          <w:iCs/>
          <w:color w:val="000000"/>
          <w:sz w:val="24"/>
          <w:szCs w:val="24"/>
        </w:rPr>
        <w:t>Career summary</w:t>
      </w:r>
      <w:r>
        <w:rPr>
          <w:rFonts w:eastAsia="Calibri" w:cs="Times New Roman" w:ascii="Times New Roman" w:hAnsi="Times New Roman"/>
          <w:b/>
          <w:iCs/>
          <w:color w:val="000000"/>
          <w:sz w:val="24"/>
          <w:szCs w:val="24"/>
        </w:rPr>
        <w:t>:</w:t>
      </w:r>
      <w:r>
        <w:rPr>
          <w:rFonts w:eastAsia="Calibri" w:cs="Times New Roman" w:ascii="Times New Roman" w:hAnsi="Times New Roman"/>
          <w:b/>
          <w:i/>
          <w:iCs/>
          <w:color w:val="000000"/>
          <w:sz w:val="24"/>
          <w:szCs w:val="24"/>
        </w:rPr>
        <w:t xml:space="preserve"> </w:t>
      </w:r>
      <w:r>
        <w:rPr>
          <w:rFonts w:eastAsia="Calibri" w:cs="Times New Roman" w:ascii="Times New Roman" w:hAnsi="Times New Roman"/>
          <w:i/>
          <w:iCs/>
          <w:color w:val="000000"/>
          <w:sz w:val="24"/>
          <w:szCs w:val="24"/>
        </w:rPr>
        <w:t xml:space="preserve">BMaths (Hons), PhD. </w:t>
      </w:r>
      <w:r>
        <w:rPr>
          <w:rFonts w:eastAsia="Times New Roman" w:cs="Times New Roman" w:ascii="Times New Roman" w:hAnsi="Times New Roman"/>
          <w:sz w:val="24"/>
          <w:szCs w:val="24"/>
        </w:rPr>
        <w:t xml:space="preserve">Dr Oldmeadow is Director of the Clinical Research Design, IT and Statistical Support (CReDITSS) Unit at the HMRI. Dr Oldmeadow oversees the design, data management, and analysis of all projects within the unit. Dr Oldmeadow has a strong track record in study design and co-ordinating the analytic plans of research projects. He has </w:t>
      </w:r>
      <w:r>
        <w:rPr>
          <w:rFonts w:eastAsia="Times New Roman" w:cs="Times New Roman" w:ascii="Times New Roman" w:hAnsi="Times New Roman"/>
          <w:sz w:val="24"/>
          <w:szCs w:val="24"/>
        </w:rPr>
        <w:t>lead</w:t>
      </w:r>
      <w:r>
        <w:rPr>
          <w:rFonts w:eastAsia="Times New Roman" w:cs="Times New Roman" w:ascii="Times New Roman" w:hAnsi="Times New Roman"/>
          <w:sz w:val="24"/>
          <w:szCs w:val="24"/>
        </w:rPr>
        <w:t xml:space="preserve"> the design, analysis and data management of several large NHMRC funded studies. He </w:t>
      </w:r>
      <w:r>
        <w:rPr>
          <w:rFonts w:eastAsia="Times New Roman" w:cs="Times New Roman" w:ascii="Times New Roman" w:hAnsi="Times New Roman"/>
          <w:color w:val="auto"/>
          <w:kern w:val="0"/>
          <w:sz w:val="24"/>
          <w:szCs w:val="24"/>
          <w:lang w:val="en-AU" w:eastAsia="en-US" w:bidi="ar-SA"/>
        </w:rPr>
        <w:t>provides expert statistical consultation support for the Breast Cancer Trials and TROG clinical trial groups.</w:t>
      </w:r>
    </w:p>
    <w:p>
      <w:pPr>
        <w:pStyle w:val="Normal"/>
        <w:rPr>
          <w:rFonts w:ascii="Times New Roman" w:hAnsi="Times New Roman" w:eastAsia="Calibri" w:cs="Times New Roman"/>
          <w:b/>
          <w:b/>
          <w:bCs/>
          <w:i/>
          <w:i/>
          <w:iCs/>
          <w:color w:val="000000"/>
          <w:sz w:val="24"/>
          <w:szCs w:val="24"/>
        </w:rPr>
      </w:pPr>
      <w:r>
        <w:rPr>
          <w:rFonts w:eastAsia="Calibri" w:cs="Times New Roman" w:ascii="Times New Roman" w:hAnsi="Times New Roman"/>
          <w:b/>
          <w:bCs/>
          <w:i/>
          <w:iCs/>
          <w:color w:val="000000"/>
          <w:sz w:val="24"/>
          <w:szCs w:val="24"/>
        </w:rPr>
      </w:r>
    </w:p>
    <w:p>
      <w:pPr>
        <w:pStyle w:val="Normal"/>
        <w:rPr>
          <w:rFonts w:ascii="Times New Roman" w:hAnsi="Times New Roman" w:eastAsia="Calibri" w:cs="Times New Roman"/>
          <w:b/>
          <w:b/>
          <w:color w:val="000000"/>
          <w:sz w:val="24"/>
          <w:szCs w:val="24"/>
        </w:rPr>
      </w:pPr>
      <w:r>
        <w:rPr>
          <w:rFonts w:eastAsia="Calibri" w:cs="Times New Roman" w:ascii="Times New Roman" w:hAnsi="Times New Roman"/>
          <w:b/>
          <w:bCs/>
          <w:color w:val="000000"/>
          <w:sz w:val="24"/>
          <w:szCs w:val="24"/>
        </w:rPr>
        <w:t xml:space="preserve">Overall Track Record in the Last 5 Years </w:t>
      </w:r>
    </w:p>
    <w:p>
      <w:pPr>
        <w:pStyle w:val="Normal"/>
        <w:rPr/>
      </w:pPr>
      <w:r>
        <w:rPr>
          <w:rFonts w:eastAsia="Calibri" w:cs="Times New Roman" w:ascii="Times New Roman" w:hAnsi="Times New Roman"/>
          <w:b/>
          <w:bCs/>
          <w:i/>
          <w:iCs/>
          <w:color w:val="000000"/>
          <w:sz w:val="24"/>
          <w:szCs w:val="24"/>
        </w:rPr>
        <w:t>Collaborations and contribution to the field of research</w:t>
      </w:r>
      <w:r>
        <w:rPr>
          <w:rFonts w:eastAsia="Calibri" w:cs="Times New Roman" w:ascii="Times New Roman" w:hAnsi="Times New Roman"/>
          <w:b/>
          <w:bCs/>
          <w:iCs/>
          <w:color w:val="000000"/>
          <w:sz w:val="24"/>
          <w:szCs w:val="24"/>
        </w:rPr>
        <w:t>:</w:t>
      </w:r>
      <w:r>
        <w:rPr>
          <w:rFonts w:eastAsia="Calibri" w:cs="Times New Roman" w:ascii="Times New Roman" w:hAnsi="Times New Roman"/>
          <w:b/>
          <w:bCs/>
          <w:i/>
          <w:iCs/>
          <w:color w:val="000000"/>
          <w:sz w:val="24"/>
          <w:szCs w:val="24"/>
        </w:rPr>
        <w:t xml:space="preserve"> </w:t>
      </w:r>
      <w:r>
        <w:rPr>
          <w:rFonts w:eastAsia="Calibri" w:cs="Times New Roman" w:ascii="Times New Roman" w:hAnsi="Times New Roman"/>
          <w:color w:val="000000"/>
          <w:sz w:val="24"/>
          <w:szCs w:val="24"/>
        </w:rPr>
        <w:t>CI Oldmeadow has provided consultative and collaborative input to clinicians and public health specialists on a wide range of methodological problems. His role at CReDITSS has placed him in collaborations with local research groups from the Hunter Medical Research Institute, Hunter New England Population Health, and John Hunter Hospital (JHH); as well as groups from outside the Hunter region including the National Drug and Alcohol Research Centre; Cancer Council NSW; NSW Ministry of Health (Evidence and Evaluation Unit); and the Department of Family and Community Services (NSW Government).</w:t>
      </w:r>
    </w:p>
    <w:p>
      <w:pPr>
        <w:pStyle w:val="Normal"/>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r>
    </w:p>
    <w:p>
      <w:pPr>
        <w:pStyle w:val="Normal"/>
        <w:spacing w:before="0" w:after="60"/>
        <w:jc w:val="both"/>
        <w:rPr>
          <w:rFonts w:ascii="Times New Roman" w:hAnsi="Times New Roman" w:eastAsia="Times New Roman" w:cs="Times New Roman"/>
          <w:sz w:val="24"/>
          <w:szCs w:val="24"/>
          <w:lang w:val="en-US"/>
        </w:rPr>
      </w:pPr>
      <w:r>
        <w:rPr>
          <w:rFonts w:eastAsia="Calibri" w:cs="Times New Roman" w:ascii="Times New Roman" w:hAnsi="Times New Roman"/>
          <w:b/>
          <w:bCs/>
          <w:i/>
          <w:iCs/>
          <w:color w:val="000000"/>
          <w:sz w:val="24"/>
          <w:szCs w:val="24"/>
        </w:rPr>
        <w:t>Professional involvement</w:t>
      </w:r>
      <w:r>
        <w:rPr>
          <w:rFonts w:eastAsia="Calibri" w:cs="Times New Roman" w:ascii="Times New Roman" w:hAnsi="Times New Roman"/>
          <w:b/>
          <w:i/>
          <w:iCs/>
          <w:color w:val="000000"/>
          <w:sz w:val="24"/>
          <w:szCs w:val="24"/>
        </w:rPr>
        <w:t xml:space="preserve">: </w:t>
      </w:r>
      <w:r>
        <w:rPr>
          <w:rFonts w:eastAsia="Times New Roman" w:cs="Times New Roman" w:ascii="Times New Roman" w:hAnsi="Times New Roman"/>
          <w:sz w:val="24"/>
          <w:szCs w:val="24"/>
          <w:lang w:val="en-US"/>
        </w:rPr>
        <w:t xml:space="preserve">CI Oldmeadow was an associate editor of the Biomed Central Journal “Pilot and Feasibility studies” during 2017-2018. He is the statistical expert on the Hunter New England Research Ethics Committee </w:t>
      </w:r>
      <w:r>
        <w:rPr>
          <w:rFonts w:eastAsia="Times New Roman" w:cs="Times New Roman" w:ascii="Times New Roman" w:hAnsi="Times New Roman"/>
          <w:sz w:val="24"/>
          <w:szCs w:val="24"/>
          <w:lang w:val="en-US"/>
        </w:rPr>
        <w:t>(Clinical Trials sub-committee)</w:t>
      </w:r>
      <w:r>
        <w:rPr>
          <w:rFonts w:eastAsia="Times New Roman" w:cs="Times New Roman" w:ascii="Times New Roman" w:hAnsi="Times New Roman"/>
          <w:sz w:val="24"/>
          <w:szCs w:val="24"/>
          <w:lang w:val="en-US"/>
        </w:rPr>
        <w:t xml:space="preserve">, and a steering committee member for the Hunter Cancer Research Alliance. He serves on a number of Data Monitoring and Safety Boards. </w:t>
      </w:r>
      <w:r>
        <w:rPr>
          <w:rFonts w:eastAsia="Calibri" w:cs="Times New Roman" w:ascii="Times New Roman" w:hAnsi="Times New Roman"/>
          <w:color w:val="000000"/>
          <w:sz w:val="24"/>
          <w:szCs w:val="24"/>
        </w:rPr>
        <w:t xml:space="preserve">CI Oldmeadow has reviewed articles for journals such as </w:t>
      </w:r>
      <w:r>
        <w:rPr>
          <w:rFonts w:eastAsia="Calibri" w:cs="Times New Roman" w:ascii="Times New Roman" w:hAnsi="Times New Roman"/>
          <w:i/>
          <w:iCs/>
          <w:color w:val="000000"/>
          <w:sz w:val="24"/>
          <w:szCs w:val="24"/>
        </w:rPr>
        <w:t xml:space="preserve">PLoS One </w:t>
      </w:r>
      <w:r>
        <w:rPr>
          <w:rFonts w:eastAsia="Calibri" w:cs="Times New Roman" w:ascii="Times New Roman" w:hAnsi="Times New Roman"/>
          <w:color w:val="000000"/>
          <w:sz w:val="24"/>
          <w:szCs w:val="24"/>
        </w:rPr>
        <w:t xml:space="preserve">and </w:t>
      </w:r>
      <w:r>
        <w:rPr>
          <w:rFonts w:eastAsia="Calibri" w:cs="Times New Roman" w:ascii="Times New Roman" w:hAnsi="Times New Roman"/>
          <w:i/>
          <w:iCs/>
          <w:color w:val="000000"/>
          <w:sz w:val="24"/>
          <w:szCs w:val="24"/>
        </w:rPr>
        <w:t>British Journal of Surgery and Bioinformatics</w:t>
      </w:r>
      <w:r>
        <w:rPr>
          <w:rFonts w:eastAsia="Calibri" w:cs="Times New Roman" w:ascii="Times New Roman" w:hAnsi="Times New Roman"/>
          <w:color w:val="000000"/>
          <w:sz w:val="24"/>
          <w:szCs w:val="24"/>
        </w:rPr>
        <w:t xml:space="preserve">. </w:t>
      </w:r>
    </w:p>
    <w:p>
      <w:pPr>
        <w:pStyle w:val="Normal"/>
        <w:rPr>
          <w:rFonts w:ascii="Times New Roman" w:hAnsi="Times New Roman" w:eastAsia="Calibri" w:cs="Times New Roman"/>
          <w:b/>
          <w:b/>
          <w:i/>
          <w:i/>
          <w:color w:val="000000"/>
          <w:sz w:val="24"/>
          <w:szCs w:val="24"/>
        </w:rPr>
      </w:pPr>
      <w:r>
        <w:rPr>
          <w:rFonts w:eastAsia="Calibri" w:cs="Times New Roman" w:ascii="Times New Roman" w:hAnsi="Times New Roman"/>
          <w:b/>
          <w:i/>
          <w:color w:val="000000"/>
          <w:sz w:val="24"/>
          <w:szCs w:val="24"/>
        </w:rPr>
      </w:r>
    </w:p>
    <w:p>
      <w:pPr>
        <w:pStyle w:val="Normal"/>
        <w:rPr>
          <w:rFonts w:ascii="Times New Roman" w:hAnsi="Times New Roman" w:eastAsia="Calibri" w:cs="Times New Roman"/>
          <w:color w:val="000000"/>
          <w:sz w:val="24"/>
          <w:szCs w:val="24"/>
        </w:rPr>
      </w:pPr>
      <w:r>
        <w:rPr>
          <w:rFonts w:eastAsia="Calibri" w:cs="Times New Roman" w:ascii="Times New Roman" w:hAnsi="Times New Roman"/>
          <w:b/>
          <w:i/>
          <w:color w:val="000000"/>
          <w:sz w:val="24"/>
          <w:szCs w:val="24"/>
        </w:rPr>
        <w:t xml:space="preserve">Publications: </w:t>
      </w:r>
      <w:r>
        <w:rPr>
          <w:rFonts w:eastAsia="Calibri" w:cs="Times New Roman" w:ascii="Times New Roman" w:hAnsi="Times New Roman"/>
          <w:color w:val="000000"/>
          <w:sz w:val="24"/>
          <w:szCs w:val="24"/>
        </w:rPr>
        <w:t xml:space="preserve">CI Oldmeadow has published over 250 papers in peer reviewed journals in the last 5 years including a number in leading journals (e.g. </w:t>
      </w:r>
      <w:r>
        <w:rPr>
          <w:rFonts w:eastAsia="Calibri" w:cs="Times New Roman" w:ascii="Times New Roman" w:hAnsi="Times New Roman"/>
          <w:i/>
          <w:iCs/>
          <w:color w:val="000000"/>
          <w:sz w:val="24"/>
          <w:szCs w:val="24"/>
        </w:rPr>
        <w:t>Nature</w:t>
      </w:r>
      <w:r>
        <w:rPr>
          <w:rFonts w:eastAsia="Calibri" w:cs="Times New Roman" w:ascii="Times New Roman" w:hAnsi="Times New Roman"/>
          <w:color w:val="000000"/>
          <w:sz w:val="24"/>
          <w:szCs w:val="24"/>
        </w:rPr>
        <w:t xml:space="preserve">, </w:t>
      </w:r>
      <w:r>
        <w:rPr>
          <w:rFonts w:eastAsia="Calibri" w:cs="Times New Roman" w:ascii="Times New Roman" w:hAnsi="Times New Roman"/>
          <w:i/>
          <w:iCs/>
          <w:color w:val="000000"/>
          <w:sz w:val="24"/>
          <w:szCs w:val="24"/>
        </w:rPr>
        <w:t>Lancet Oncology</w:t>
      </w:r>
      <w:r>
        <w:rPr>
          <w:rFonts w:eastAsia="Calibri" w:cs="Times New Roman" w:ascii="Times New Roman" w:hAnsi="Times New Roman"/>
          <w:color w:val="000000"/>
          <w:sz w:val="24"/>
          <w:szCs w:val="24"/>
        </w:rPr>
        <w:t xml:space="preserve">, </w:t>
      </w:r>
      <w:r>
        <w:rPr>
          <w:rFonts w:eastAsia="Calibri" w:cs="Times New Roman" w:ascii="Times New Roman" w:hAnsi="Times New Roman"/>
          <w:i/>
          <w:iCs/>
          <w:color w:val="000000"/>
          <w:sz w:val="24"/>
          <w:szCs w:val="24"/>
        </w:rPr>
        <w:t>Lancet</w:t>
      </w:r>
      <w:r>
        <w:rPr>
          <w:rFonts w:eastAsia="Calibri" w:cs="Times New Roman" w:ascii="Times New Roman" w:hAnsi="Times New Roman"/>
          <w:color w:val="000000"/>
          <w:sz w:val="24"/>
          <w:szCs w:val="24"/>
        </w:rPr>
        <w:t xml:space="preserve">, and </w:t>
      </w:r>
      <w:r>
        <w:rPr>
          <w:rFonts w:eastAsia="Calibri" w:cs="Times New Roman" w:ascii="Times New Roman" w:hAnsi="Times New Roman"/>
          <w:i/>
          <w:iCs/>
          <w:color w:val="000000"/>
          <w:sz w:val="24"/>
          <w:szCs w:val="24"/>
        </w:rPr>
        <w:t>Science</w:t>
      </w:r>
      <w:r>
        <w:rPr>
          <w:rFonts w:eastAsia="Calibri" w:cs="Times New Roman" w:ascii="Times New Roman" w:hAnsi="Times New Roman"/>
          <w:color w:val="000000"/>
          <w:sz w:val="24"/>
          <w:szCs w:val="24"/>
        </w:rPr>
        <w:t xml:space="preserve">). Being part of a consultation unit means not all of CI Oldmeadow’s work results in publication. </w:t>
      </w:r>
    </w:p>
    <w:p>
      <w:pPr>
        <w:pStyle w:val="Normal"/>
        <w:rPr>
          <w:rFonts w:ascii="Times New Roman" w:hAnsi="Times New Roman" w:eastAsia="Calibri" w:cs="Times New Roman"/>
          <w:b/>
          <w:b/>
          <w:bCs/>
          <w:i/>
          <w:i/>
          <w:iCs/>
          <w:color w:val="000000"/>
          <w:sz w:val="24"/>
          <w:szCs w:val="24"/>
        </w:rPr>
      </w:pPr>
      <w:r>
        <w:rPr>
          <w:rFonts w:eastAsia="Calibri" w:cs="Times New Roman" w:ascii="Times New Roman" w:hAnsi="Times New Roman"/>
          <w:b/>
          <w:bCs/>
          <w:i/>
          <w:iCs/>
          <w:color w:val="000000"/>
          <w:sz w:val="24"/>
          <w:szCs w:val="24"/>
        </w:rPr>
      </w:r>
    </w:p>
    <w:p>
      <w:pPr>
        <w:pStyle w:val="Normal"/>
        <w:rPr>
          <w:rFonts w:ascii="Times New Roman" w:hAnsi="Times New Roman" w:eastAsia="Calibri" w:cs="Times New Roman"/>
          <w:color w:val="000000"/>
          <w:sz w:val="24"/>
          <w:szCs w:val="24"/>
        </w:rPr>
      </w:pPr>
      <w:r>
        <w:rPr>
          <w:rFonts w:eastAsia="Calibri" w:cs="Times New Roman" w:ascii="Times New Roman" w:hAnsi="Times New Roman"/>
          <w:b/>
          <w:bCs/>
          <w:i/>
          <w:iCs/>
          <w:color w:val="000000"/>
          <w:sz w:val="24"/>
          <w:szCs w:val="24"/>
        </w:rPr>
        <w:t xml:space="preserve">Research support: </w:t>
      </w:r>
      <w:r>
        <w:rPr>
          <w:rFonts w:eastAsia="Calibri" w:cs="Times New Roman" w:ascii="Times New Roman" w:hAnsi="Times New Roman"/>
          <w:bCs/>
          <w:iCs/>
          <w:color w:val="000000"/>
          <w:sz w:val="24"/>
          <w:szCs w:val="24"/>
        </w:rPr>
        <w:t xml:space="preserve">In the past 5 years </w:t>
      </w:r>
      <w:r>
        <w:rPr>
          <w:rFonts w:eastAsia="Calibri" w:cs="Times New Roman" w:ascii="Times New Roman" w:hAnsi="Times New Roman"/>
          <w:color w:val="000000"/>
          <w:sz w:val="24"/>
          <w:szCs w:val="24"/>
        </w:rPr>
        <w:t xml:space="preserve">CI Oldmeadow has been chief investigator on grants totalling approximately $12 million from funding sources such as an Australian Research Council Discovery Project Grant, NHMRC Project and Partnership grants, a NHMRC Centre for Research Excellence, and NSW Ministry of Health. </w:t>
      </w:r>
    </w:p>
    <w:p>
      <w:pPr>
        <w:pStyle w:val="Normal"/>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r>
    </w:p>
    <w:p>
      <w:pPr>
        <w:pStyle w:val="Normal"/>
        <w:rPr>
          <w:rFonts w:ascii="Times New Roman" w:hAnsi="Times New Roman" w:eastAsia="Calibri" w:cs="Times New Roman"/>
          <w:b/>
          <w:b/>
          <w:bCs/>
          <w:i/>
          <w:i/>
          <w:iCs/>
          <w:color w:val="000000"/>
          <w:sz w:val="24"/>
          <w:szCs w:val="24"/>
        </w:rPr>
      </w:pPr>
      <w:r>
        <w:rPr>
          <w:rFonts w:eastAsia="Calibri" w:cs="Times New Roman" w:ascii="Times New Roman" w:hAnsi="Times New Roman"/>
          <w:b/>
          <w:bCs/>
          <w:i/>
          <w:iCs/>
          <w:color w:val="000000"/>
          <w:sz w:val="24"/>
          <w:szCs w:val="24"/>
        </w:rPr>
        <w:t>Supervision and mentoring</w:t>
      </w:r>
      <w:r>
        <w:rPr>
          <w:rFonts w:eastAsia="Calibri" w:cs="Times New Roman" w:ascii="Times New Roman" w:hAnsi="Times New Roman"/>
          <w:b/>
          <w:i/>
          <w:iCs/>
          <w:color w:val="000000"/>
          <w:sz w:val="24"/>
          <w:szCs w:val="24"/>
        </w:rPr>
        <w:t>:</w:t>
      </w:r>
      <w:r>
        <w:rPr>
          <w:rFonts w:eastAsia="Calibri" w:cs="Times New Roman" w:ascii="Times New Roman" w:hAnsi="Times New Roman"/>
          <w:i/>
          <w:iCs/>
          <w:color w:val="000000"/>
          <w:sz w:val="24"/>
          <w:szCs w:val="24"/>
        </w:rPr>
        <w:t xml:space="preserve"> </w:t>
      </w:r>
      <w:r>
        <w:rPr>
          <w:rFonts w:eastAsia="Calibri" w:cs="Times New Roman" w:ascii="Times New Roman" w:hAnsi="Times New Roman"/>
          <w:color w:val="000000"/>
          <w:sz w:val="24"/>
          <w:szCs w:val="24"/>
        </w:rPr>
        <w:t>CI Oldmeadow supervises a team of 13 biostatisticians, 1 data manager and 2 bioinformaticians, and is a co-supervisor for 2 PhD students. His role at CReDITSS also provides ongoing consultative support for numerous PhD students, and research fellows/assistants.</w:t>
      </w:r>
    </w:p>
    <w:p>
      <w:pPr>
        <w:pStyle w:val="Normal"/>
        <w:rPr>
          <w:rFonts w:ascii="Times New Roman" w:hAnsi="Times New Roman" w:eastAsia="Calibri" w:cs="Times New Roman"/>
          <w:b/>
          <w:b/>
          <w:bCs/>
          <w:i/>
          <w:i/>
          <w:iCs/>
          <w:color w:val="000000"/>
          <w:sz w:val="24"/>
          <w:szCs w:val="24"/>
        </w:rPr>
      </w:pPr>
      <w:r>
        <w:rPr>
          <w:rFonts w:eastAsia="Calibri" w:cs="Times New Roman" w:ascii="Times New Roman" w:hAnsi="Times New Roman"/>
          <w:b/>
          <w:bCs/>
          <w:i/>
          <w:iCs/>
          <w:color w:val="000000"/>
          <w:sz w:val="24"/>
          <w:szCs w:val="24"/>
        </w:rPr>
      </w:r>
    </w:p>
    <w:p>
      <w:pPr>
        <w:pStyle w:val="Normal"/>
        <w:rPr>
          <w:rFonts w:ascii="Times New Roman" w:hAnsi="Times New Roman" w:eastAsia="Calibri" w:cs="Times New Roman"/>
          <w:b/>
          <w:b/>
          <w:bCs/>
          <w:i/>
          <w:i/>
          <w:color w:val="000000"/>
          <w:sz w:val="24"/>
          <w:szCs w:val="24"/>
        </w:rPr>
      </w:pPr>
      <w:r>
        <w:rPr>
          <w:rFonts w:eastAsia="Calibri" w:cs="Times New Roman" w:ascii="Times New Roman" w:hAnsi="Times New Roman"/>
          <w:b/>
          <w:bCs/>
          <w:i/>
          <w:color w:val="000000"/>
          <w:sz w:val="24"/>
          <w:szCs w:val="24"/>
        </w:rPr>
        <w:t xml:space="preserve">Top 5 Publications in the Last 5 Years </w:t>
      </w:r>
    </w:p>
    <w:p>
      <w:pPr>
        <w:pStyle w:val="Normal"/>
        <w:numPr>
          <w:ilvl w:val="0"/>
          <w:numId w:val="1"/>
        </w:numPr>
        <w:rPr>
          <w:rFonts w:ascii="Times New Roman" w:hAnsi="Times New Roman" w:eastAsia="Calibri" w:cs="Times New Roman"/>
          <w:i/>
          <w:i/>
          <w:iCs/>
          <w:color w:val="000000"/>
          <w:sz w:val="24"/>
          <w:szCs w:val="24"/>
        </w:rPr>
      </w:pPr>
      <w:r>
        <w:rPr>
          <w:rFonts w:eastAsia="Calibri" w:cs="Times New Roman" w:ascii="Times New Roman" w:hAnsi="Times New Roman"/>
          <w:color w:val="000000"/>
          <w:sz w:val="24"/>
          <w:szCs w:val="24"/>
        </w:rPr>
        <w:t xml:space="preserve">Kepreotes E., Whitehead B, Attia J, </w:t>
      </w:r>
      <w:r>
        <w:rPr>
          <w:rFonts w:eastAsia="Calibri" w:cs="Times New Roman" w:ascii="Times New Roman" w:hAnsi="Times New Roman"/>
          <w:b/>
          <w:color w:val="000000"/>
          <w:sz w:val="24"/>
          <w:szCs w:val="24"/>
        </w:rPr>
        <w:t>Oldmeadow C</w:t>
      </w:r>
      <w:r>
        <w:rPr>
          <w:rFonts w:eastAsia="Calibri" w:cs="Times New Roman" w:ascii="Times New Roman" w:hAnsi="Times New Roman"/>
          <w:color w:val="000000"/>
          <w:sz w:val="24"/>
          <w:szCs w:val="24"/>
        </w:rPr>
        <w:t xml:space="preserve">, et al. High-flow warm humidified oxygen versus standard low-flow nasal cannula oxygen for moderate bronchiolitis (HFWHO RCT): an open, phase 4, randomised controlled trial. The Lancet. 2017; 389(10072):930-939. </w:t>
      </w:r>
    </w:p>
    <w:p>
      <w:pPr>
        <w:pStyle w:val="Normal"/>
        <w:ind w:left="360" w:hanging="0"/>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t>CI Oldmeadow helped design the study and performed the statistical analysis.</w:t>
      </w:r>
    </w:p>
    <w:p>
      <w:pPr>
        <w:pStyle w:val="Normal"/>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r>
    </w:p>
    <w:p>
      <w:pPr>
        <w:pStyle w:val="Normal"/>
        <w:numPr>
          <w:ilvl w:val="0"/>
          <w:numId w:val="1"/>
        </w:numPr>
        <w:rPr>
          <w:rFonts w:ascii="Times New Roman" w:hAnsi="Times New Roman" w:eastAsia="Calibri" w:cs="Times New Roman"/>
          <w:i/>
          <w:i/>
          <w:iCs/>
          <w:color w:val="000000"/>
          <w:sz w:val="24"/>
          <w:szCs w:val="24"/>
        </w:rPr>
      </w:pPr>
      <w:r>
        <w:rPr>
          <w:rFonts w:eastAsia="Calibri" w:cs="Times New Roman" w:ascii="Times New Roman" w:hAnsi="Times New Roman"/>
          <w:iCs/>
          <w:color w:val="000000"/>
          <w:sz w:val="24"/>
          <w:szCs w:val="24"/>
        </w:rPr>
        <w:t>Sutherland</w:t>
      </w:r>
      <w:r>
        <w:rPr>
          <w:rFonts w:eastAsia="Calibri" w:cs="Times New Roman" w:ascii="Times New Roman" w:hAnsi="Times New Roman"/>
          <w:i/>
          <w:iCs/>
          <w:color w:val="000000"/>
          <w:sz w:val="24"/>
          <w:szCs w:val="24"/>
        </w:rPr>
        <w:t xml:space="preserve"> </w:t>
      </w:r>
      <w:r>
        <w:rPr>
          <w:rFonts w:eastAsia="Calibri" w:cs="Times New Roman" w:ascii="Times New Roman" w:hAnsi="Times New Roman"/>
          <w:color w:val="000000"/>
          <w:sz w:val="24"/>
          <w:szCs w:val="24"/>
        </w:rPr>
        <w:t xml:space="preserve">R, Campbell E, Lubans D, Morgan P, Nathan N, Wolfenden L, Okely A, Gillham K, Hollis J, </w:t>
      </w:r>
      <w:r>
        <w:rPr>
          <w:rFonts w:eastAsia="Calibri" w:cs="Times New Roman" w:ascii="Times New Roman" w:hAnsi="Times New Roman"/>
          <w:b/>
          <w:bCs/>
          <w:color w:val="000000"/>
          <w:sz w:val="24"/>
          <w:szCs w:val="24"/>
        </w:rPr>
        <w:t>Oldmeadow C</w:t>
      </w:r>
      <w:r>
        <w:rPr>
          <w:rFonts w:eastAsia="Calibri" w:cs="Times New Roman" w:ascii="Times New Roman" w:hAnsi="Times New Roman"/>
          <w:color w:val="000000"/>
          <w:sz w:val="24"/>
          <w:szCs w:val="24"/>
        </w:rPr>
        <w:t xml:space="preserve">, et al. The Physical Activity 4 Everyone Cluster Randomized Trial: 2-Year Outcomes of a School Physical Activity Intervention Among Adolescents. American Journal of Preventive Medicine. 2016; 51(2):195-205. </w:t>
      </w:r>
    </w:p>
    <w:p>
      <w:pPr>
        <w:pStyle w:val="Normal"/>
        <w:ind w:left="360" w:hanging="0"/>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t>This paper presents the results of a cluster RCT investigating the effect of a physical activity intervention. CI Oldmeadow advised and supervised the analysis for this trial.</w:t>
      </w:r>
    </w:p>
    <w:p>
      <w:pPr>
        <w:pStyle w:val="Normal"/>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r>
    </w:p>
    <w:p>
      <w:pPr>
        <w:pStyle w:val="Normal"/>
        <w:numPr>
          <w:ilvl w:val="0"/>
          <w:numId w:val="1"/>
        </w:numPr>
        <w:rPr>
          <w:rFonts w:ascii="Times New Roman" w:hAnsi="Times New Roman" w:eastAsia="Calibri" w:cs="Times New Roman"/>
          <w:bCs/>
          <w:i/>
          <w:i/>
          <w:color w:val="000000"/>
          <w:sz w:val="24"/>
          <w:szCs w:val="24"/>
        </w:rPr>
      </w:pPr>
      <w:r>
        <w:rPr>
          <w:rFonts w:eastAsia="Calibri" w:cs="Times New Roman" w:ascii="Times New Roman" w:hAnsi="Times New Roman"/>
          <w:iCs/>
          <w:color w:val="000000"/>
          <w:sz w:val="24"/>
          <w:szCs w:val="24"/>
        </w:rPr>
        <w:t>Noble</w:t>
      </w:r>
      <w:r>
        <w:rPr>
          <w:rFonts w:eastAsia="Calibri" w:cs="Times New Roman" w:ascii="Times New Roman" w:hAnsi="Times New Roman"/>
          <w:bCs/>
          <w:color w:val="000000"/>
          <w:sz w:val="24"/>
          <w:szCs w:val="24"/>
        </w:rPr>
        <w:t xml:space="preserve"> N, Paul C, Turner N, Blunden S, </w:t>
      </w:r>
      <w:r>
        <w:rPr>
          <w:rFonts w:eastAsia="Calibri" w:cs="Times New Roman" w:ascii="Times New Roman" w:hAnsi="Times New Roman"/>
          <w:b/>
          <w:bCs/>
          <w:color w:val="000000"/>
          <w:sz w:val="24"/>
          <w:szCs w:val="24"/>
        </w:rPr>
        <w:t>Oldmeadow C</w:t>
      </w:r>
      <w:r>
        <w:rPr>
          <w:rFonts w:eastAsia="Calibri" w:cs="Times New Roman" w:ascii="Times New Roman" w:hAnsi="Times New Roman"/>
          <w:bCs/>
          <w:color w:val="000000"/>
          <w:sz w:val="24"/>
          <w:szCs w:val="24"/>
        </w:rPr>
        <w:t xml:space="preserve">, Turon H. A cross-sectional survey and latent class analysis of the prevalence and clustering of health risk factors among people attending an Aboriginal Community Controlled Health Service. BMC Public Health; 2015; 15: 666. </w:t>
      </w:r>
      <w:r>
        <w:rPr>
          <w:rFonts w:eastAsia="Calibri" w:cs="Times New Roman" w:ascii="Times New Roman" w:hAnsi="Times New Roman"/>
          <w:bCs/>
          <w:i/>
          <w:color w:val="000000"/>
          <w:sz w:val="24"/>
          <w:szCs w:val="24"/>
        </w:rPr>
        <w:t>Utilised latent class analysis to identify distinct clusters of participants with differing risky health behaviour prevalences. This work has applications for screening of clients through health behaviour clustering.</w:t>
      </w:r>
    </w:p>
    <w:p>
      <w:pPr>
        <w:pStyle w:val="Normal"/>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r>
    </w:p>
    <w:p>
      <w:pPr>
        <w:pStyle w:val="Normal"/>
        <w:numPr>
          <w:ilvl w:val="0"/>
          <w:numId w:val="1"/>
        </w:numPr>
        <w:rPr>
          <w:rFonts w:ascii="Times New Roman" w:hAnsi="Times New Roman" w:eastAsia="Calibri" w:cs="Times New Roman"/>
          <w:i/>
          <w:i/>
          <w:iCs/>
          <w:color w:val="000000"/>
          <w:sz w:val="24"/>
          <w:szCs w:val="24"/>
        </w:rPr>
      </w:pPr>
      <w:r>
        <w:rPr>
          <w:rFonts w:eastAsia="Calibri" w:cs="Times New Roman" w:ascii="Times New Roman" w:hAnsi="Times New Roman"/>
          <w:iCs/>
          <w:color w:val="000000"/>
          <w:sz w:val="24"/>
          <w:szCs w:val="24"/>
        </w:rPr>
        <w:t>Wolfenden</w:t>
      </w:r>
      <w:r>
        <w:rPr>
          <w:rFonts w:eastAsia="Calibri" w:cs="Times New Roman" w:ascii="Times New Roman" w:hAnsi="Times New Roman"/>
          <w:i/>
          <w:iCs/>
          <w:color w:val="000000"/>
          <w:sz w:val="24"/>
          <w:szCs w:val="24"/>
        </w:rPr>
        <w:t xml:space="preserve"> </w:t>
      </w:r>
      <w:r>
        <w:rPr>
          <w:rFonts w:eastAsia="Calibri" w:cs="Times New Roman" w:ascii="Times New Roman" w:hAnsi="Times New Roman"/>
          <w:color w:val="222222"/>
          <w:sz w:val="24"/>
          <w:szCs w:val="24"/>
          <w:shd w:fill="FFFFFF" w:val="clear"/>
        </w:rPr>
        <w:t xml:space="preserve">L, Nathan N, Janssen L, Wiggers J, Reilly K, Delaney T, Williams, C, Bell C, Wyse R, Sutherland R, Campbell L, Lecathelinais C, </w:t>
      </w:r>
      <w:r>
        <w:rPr>
          <w:rFonts w:eastAsia="Calibri" w:cs="Times New Roman" w:ascii="Times New Roman" w:hAnsi="Times New Roman"/>
          <w:b/>
          <w:color w:val="222222"/>
          <w:sz w:val="24"/>
          <w:szCs w:val="24"/>
          <w:shd w:fill="FFFFFF" w:val="clear"/>
        </w:rPr>
        <w:t>Oldmeadow C</w:t>
      </w:r>
      <w:r>
        <w:rPr>
          <w:rFonts w:eastAsia="Calibri" w:cs="Times New Roman" w:ascii="Times New Roman" w:hAnsi="Times New Roman"/>
          <w:color w:val="222222"/>
          <w:sz w:val="24"/>
          <w:szCs w:val="24"/>
          <w:shd w:fill="FFFFFF" w:val="clear"/>
        </w:rPr>
        <w:t xml:space="preserve">, et al. Multi-strategic intervention to enhance implementation of healthy canteen policy: a randomised controlled trial. Implementation Science. 2017; 12(1): 6. </w:t>
      </w:r>
      <w:r>
        <w:rPr>
          <w:rFonts w:eastAsia="Calibri" w:cs="Times New Roman" w:ascii="Times New Roman" w:hAnsi="Times New Roman"/>
          <w:i/>
          <w:iCs/>
          <w:color w:val="000000"/>
          <w:sz w:val="24"/>
          <w:szCs w:val="24"/>
        </w:rPr>
        <w:t>CI Oldmeadow advised on the statistical methodology for this randomised controlled trial.</w:t>
      </w:r>
    </w:p>
    <w:p>
      <w:pPr>
        <w:pStyle w:val="ListParagraph"/>
        <w:rPr>
          <w:rFonts w:ascii="Times New Roman" w:hAnsi="Times New Roman" w:eastAsia="Calibri" w:cs="Times New Roman"/>
          <w:iCs/>
          <w:color w:val="000000"/>
          <w:sz w:val="24"/>
          <w:szCs w:val="24"/>
        </w:rPr>
      </w:pPr>
      <w:r>
        <w:rPr>
          <w:rFonts w:eastAsia="Calibri" w:cs="Times New Roman" w:ascii="Times New Roman" w:hAnsi="Times New Roman"/>
          <w:iCs/>
          <w:color w:val="000000"/>
          <w:sz w:val="24"/>
          <w:szCs w:val="24"/>
        </w:rPr>
      </w:r>
    </w:p>
    <w:p>
      <w:pPr>
        <w:pStyle w:val="Normal"/>
        <w:numPr>
          <w:ilvl w:val="0"/>
          <w:numId w:val="1"/>
        </w:numPr>
        <w:rPr>
          <w:rFonts w:ascii="Times New Roman" w:hAnsi="Times New Roman" w:eastAsia="Calibri" w:cs="Times New Roman"/>
          <w:i/>
          <w:i/>
          <w:iCs/>
          <w:color w:val="000000"/>
          <w:sz w:val="24"/>
          <w:szCs w:val="24"/>
        </w:rPr>
      </w:pPr>
      <w:r>
        <w:rPr>
          <w:rFonts w:eastAsia="Calibri" w:cs="Times New Roman" w:ascii="Times New Roman" w:hAnsi="Times New Roman"/>
          <w:iCs/>
          <w:color w:val="000000"/>
          <w:sz w:val="24"/>
          <w:szCs w:val="24"/>
        </w:rPr>
        <w:t>Denham</w:t>
      </w:r>
      <w:r>
        <w:rPr>
          <w:rFonts w:eastAsia="Calibri" w:cs="Times New Roman" w:ascii="Times New Roman" w:hAnsi="Times New Roman"/>
          <w:color w:val="000000"/>
          <w:sz w:val="24"/>
          <w:szCs w:val="24"/>
        </w:rPr>
        <w:t xml:space="preserve"> J, Joseph D, Lamb D, Spry N, Duchesne G, Matthews J, Atkinson C, Tai K, Christie D, Kenny L, Turner S, Gogna N, Diamond T, Delahunt B, </w:t>
      </w:r>
      <w:r>
        <w:rPr>
          <w:rFonts w:eastAsia="Calibri" w:cs="Times New Roman" w:ascii="Times New Roman" w:hAnsi="Times New Roman"/>
          <w:b/>
          <w:bCs/>
          <w:color w:val="000000"/>
          <w:sz w:val="24"/>
          <w:szCs w:val="24"/>
        </w:rPr>
        <w:t>Oldmeadow C</w:t>
      </w:r>
      <w:r>
        <w:rPr>
          <w:rFonts w:eastAsia="Calibri" w:cs="Times New Roman" w:ascii="Times New Roman" w:hAnsi="Times New Roman"/>
          <w:color w:val="000000"/>
          <w:sz w:val="24"/>
          <w:szCs w:val="24"/>
        </w:rPr>
        <w:t xml:space="preserve">, et al. Short-term androgen suppression and radiotherapy versus intermediate-term androgen suppression and radiotherapy, with or without zoledronic acid, in men with locally advanced prostate cancer (TROG 03.04 RADAR): 10-year results from a randomised, phase 3, factorial trial', The Lancet Oncology, </w:t>
      </w:r>
      <w:r>
        <w:rPr>
          <w:rFonts w:cs="Arial" w:ascii="Arial" w:hAnsi="Arial"/>
          <w:color w:val="000000"/>
          <w:sz w:val="21"/>
          <w:szCs w:val="21"/>
          <w:shd w:fill="FFFFFF" w:val="clear"/>
        </w:rPr>
        <w:t>20 267-281 (2019).</w:t>
      </w:r>
      <w:r>
        <w:rPr>
          <w:rFonts w:eastAsia="Calibri" w:cs="Times New Roman" w:ascii="Times New Roman" w:hAnsi="Times New Roman"/>
          <w:color w:val="000000"/>
          <w:sz w:val="24"/>
          <w:szCs w:val="24"/>
        </w:rPr>
        <w:t xml:space="preserve"> </w:t>
      </w:r>
      <w:r>
        <w:rPr>
          <w:rFonts w:eastAsia="Calibri" w:cs="Times New Roman" w:ascii="Times New Roman" w:hAnsi="Times New Roman"/>
          <w:i/>
          <w:iCs/>
          <w:color w:val="000000"/>
          <w:sz w:val="24"/>
          <w:szCs w:val="24"/>
        </w:rPr>
        <w:t>This paper presents the primary outcome analysis of a large multi-centred randomised controlled trial where CI Oldmeadow was part of the analysis team.</w:t>
      </w:r>
    </w:p>
    <w:p>
      <w:pPr>
        <w:pStyle w:val="Normal"/>
        <w:rPr>
          <w:rFonts w:ascii="Times New Roman" w:hAnsi="Times New Roman" w:eastAsia="Calibri" w:cs="Times New Roman"/>
          <w:i/>
          <w:i/>
          <w:iCs/>
          <w:color w:val="000000"/>
          <w:sz w:val="24"/>
          <w:szCs w:val="24"/>
        </w:rPr>
      </w:pPr>
      <w:r>
        <w:rPr>
          <w:rFonts w:eastAsia="Calibri" w:cs="Times New Roman" w:ascii="Times New Roman" w:hAnsi="Times New Roman"/>
          <w:i/>
          <w:iCs/>
          <w:color w:val="000000"/>
          <w:sz w:val="24"/>
          <w:szCs w:val="24"/>
        </w:rPr>
      </w:r>
    </w:p>
    <w:p>
      <w:pPr>
        <w:pStyle w:val="Normal"/>
        <w:widowControl w:val="false"/>
        <w:ind w:right="232" w:hanging="0"/>
        <w:jc w:val="both"/>
        <w:rPr>
          <w:rFonts w:ascii="Times New Roman" w:hAnsi="Times New Roman" w:eastAsia="Times New Roman" w:cs="Times New Roman"/>
          <w:sz w:val="24"/>
          <w:szCs w:val="24"/>
          <w:lang w:eastAsia="en-AU" w:bidi="en-AU"/>
        </w:rPr>
      </w:pPr>
      <w:r>
        <w:rPr>
          <w:rFonts w:eastAsia="Times New Roman" w:cs="Arial" w:ascii="Times New Roman" w:hAnsi="Times New Roman"/>
          <w:b/>
          <w:bCs/>
          <w:i/>
          <w:kern w:val="2"/>
          <w:sz w:val="24"/>
          <w:szCs w:val="24"/>
        </w:rPr>
        <w:t>Impact:</w:t>
      </w:r>
      <w:r>
        <w:rPr>
          <w:rFonts w:eastAsia="Calibri" w:cs="Times New Roman" w:ascii="Times New Roman" w:hAnsi="Times New Roman"/>
          <w:color w:val="000000"/>
          <w:sz w:val="24"/>
          <w:szCs w:val="24"/>
        </w:rPr>
        <w:t xml:space="preserve"> His results from randomised trials have been published in highly regarded international journals (</w:t>
      </w:r>
      <w:r>
        <w:rPr>
          <w:rFonts w:eastAsia="Calibri" w:cs="Times New Roman" w:ascii="Times New Roman" w:hAnsi="Times New Roman"/>
          <w:i/>
          <w:color w:val="000000"/>
          <w:sz w:val="24"/>
          <w:szCs w:val="24"/>
        </w:rPr>
        <w:t>The Lancet</w:t>
      </w:r>
      <w:r>
        <w:rPr>
          <w:rFonts w:eastAsia="Calibri" w:cs="Times New Roman" w:ascii="Times New Roman" w:hAnsi="Times New Roman"/>
          <w:color w:val="000000"/>
          <w:sz w:val="24"/>
          <w:szCs w:val="24"/>
        </w:rPr>
        <w:t xml:space="preserve">, </w:t>
      </w:r>
      <w:r>
        <w:rPr>
          <w:rFonts w:eastAsia="Calibri" w:cs="Times New Roman" w:ascii="Times New Roman" w:hAnsi="Times New Roman"/>
          <w:i/>
          <w:color w:val="000000"/>
          <w:sz w:val="24"/>
          <w:szCs w:val="24"/>
        </w:rPr>
        <w:t>American Journal of Preventative Medicine</w:t>
      </w:r>
      <w:r>
        <w:rPr>
          <w:rFonts w:eastAsia="Calibri" w:cs="Times New Roman" w:ascii="Times New Roman" w:hAnsi="Times New Roman"/>
          <w:color w:val="000000"/>
          <w:sz w:val="24"/>
          <w:szCs w:val="24"/>
        </w:rPr>
        <w:t xml:space="preserve">, </w:t>
      </w:r>
      <w:r>
        <w:rPr>
          <w:rFonts w:eastAsia="Calibri" w:cs="Times New Roman" w:ascii="Times New Roman" w:hAnsi="Times New Roman"/>
          <w:i/>
          <w:color w:val="000000"/>
          <w:sz w:val="24"/>
          <w:szCs w:val="24"/>
        </w:rPr>
        <w:t>Implementation Science</w:t>
      </w:r>
      <w:r>
        <w:rPr>
          <w:rFonts w:eastAsia="Calibri" w:cs="Times New Roman" w:ascii="Times New Roman" w:hAnsi="Times New Roman"/>
          <w:color w:val="000000"/>
          <w:sz w:val="24"/>
          <w:szCs w:val="24"/>
        </w:rPr>
        <w:t xml:space="preserve">) and other areas of his research have been published in </w:t>
      </w:r>
      <w:r>
        <w:rPr>
          <w:rFonts w:eastAsia="Calibri" w:cs="Times New Roman" w:ascii="Times New Roman" w:hAnsi="Times New Roman"/>
          <w:i/>
          <w:color w:val="000000"/>
          <w:sz w:val="24"/>
          <w:szCs w:val="24"/>
        </w:rPr>
        <w:t xml:space="preserve">Science </w:t>
      </w:r>
      <w:r>
        <w:rPr>
          <w:rFonts w:eastAsia="Calibri" w:cs="Times New Roman" w:ascii="Times New Roman" w:hAnsi="Times New Roman"/>
          <w:color w:val="000000"/>
          <w:sz w:val="24"/>
          <w:szCs w:val="24"/>
        </w:rPr>
        <w:t>and</w:t>
      </w:r>
      <w:r>
        <w:rPr>
          <w:rFonts w:eastAsia="Calibri" w:cs="Times New Roman" w:ascii="Times New Roman" w:hAnsi="Times New Roman"/>
          <w:i/>
          <w:color w:val="000000"/>
          <w:sz w:val="24"/>
          <w:szCs w:val="24"/>
        </w:rPr>
        <w:t xml:space="preserve"> Nature</w:t>
      </w:r>
      <w:r>
        <w:rPr>
          <w:rFonts w:eastAsia="Calibri" w:cs="Times New Roman" w:ascii="Times New Roman" w:hAnsi="Times New Roman"/>
          <w:color w:val="000000"/>
          <w:sz w:val="24"/>
          <w:szCs w:val="24"/>
        </w:rPr>
        <w:t>. His strong skills in statistical methods development have resulted in novel research methods for analysing complex data. For example he developed novel statistical modelling and data management approaches including a generalisation to the segmentation and classification model which allowed detecting multiple classes of evolutionary rates, previously only considered a dichotomy. This finding aids researchers in the discovery of novel functional genomic elements. CI Oldmeadow also developed information criteria suitable for model choice using posterior samples.</w:t>
      </w:r>
      <w:r>
        <w:rPr>
          <w:rFonts w:eastAsia="Times New Roman" w:cs="Arial" w:ascii="Times New Roman" w:hAnsi="Times New Roman"/>
          <w:bCs/>
          <w:i/>
          <w:kern w:val="2"/>
          <w:sz w:val="24"/>
          <w:szCs w:val="24"/>
        </w:rPr>
        <w:t xml:space="preserve">  He was the lead statistician for </w:t>
      </w:r>
      <w:r>
        <w:rPr>
          <w:rFonts w:eastAsia="Times New Roman" w:cs="Times New Roman" w:ascii="Times New Roman" w:hAnsi="Times New Roman"/>
          <w:sz w:val="24"/>
          <w:szCs w:val="24"/>
          <w:lang w:eastAsia="en-AU"/>
        </w:rPr>
        <w:t xml:space="preserve">HFWHO </w:t>
      </w:r>
      <w:r>
        <w:rPr>
          <w:rFonts w:eastAsia="Times New Roman" w:cs="Arial" w:ascii="Times New Roman" w:hAnsi="Times New Roman"/>
          <w:bCs/>
          <w:i/>
          <w:kern w:val="2"/>
          <w:sz w:val="24"/>
          <w:szCs w:val="24"/>
        </w:rPr>
        <w:t>trial,</w:t>
      </w:r>
      <w:r>
        <w:rPr>
          <w:rFonts w:eastAsia="Times New Roman" w:cs="Arial" w:ascii="Times New Roman" w:hAnsi="Times New Roman"/>
          <w:b/>
          <w:bCs/>
          <w:i/>
          <w:kern w:val="2"/>
          <w:sz w:val="24"/>
          <w:szCs w:val="24"/>
        </w:rPr>
        <w:t xml:space="preserve"> </w:t>
      </w:r>
      <w:r>
        <w:rPr>
          <w:rFonts w:eastAsia="Times New Roman" w:cs="Times New Roman" w:ascii="Times New Roman" w:hAnsi="Times New Roman"/>
          <w:sz w:val="24"/>
          <w:szCs w:val="24"/>
          <w:lang w:eastAsia="en-AU"/>
        </w:rPr>
        <w:t xml:space="preserve">a first ever phase 4 trial investigating the use of HFWHO for treating children with bronchiolitis.  The results from this trial have changed practice at an international level. This paper is cited 98 times in the reports, guidelines, and other literature. This project has won NSW Research Innovation Award in 2018 and was the finalist in the NSW Premier Award in 2018. </w:t>
      </w:r>
      <w:r>
        <w:rPr>
          <w:rFonts w:eastAsia="Times New Roman" w:cs="Times New Roman" w:ascii="Times New Roman" w:hAnsi="Times New Roman"/>
          <w:sz w:val="24"/>
          <w:szCs w:val="24"/>
          <w:lang w:eastAsia="en-AU" w:bidi="en-AU"/>
        </w:rPr>
        <w:t>Dr Oldmeadow was an author on a</w:t>
      </w:r>
      <w:bookmarkStart w:id="0" w:name="_GoBack"/>
      <w:bookmarkEnd w:id="0"/>
      <w:r>
        <w:rPr>
          <w:rFonts w:eastAsia="Times New Roman" w:cs="Times New Roman" w:ascii="Times New Roman" w:hAnsi="Times New Roman"/>
          <w:sz w:val="24"/>
          <w:szCs w:val="24"/>
          <w:lang w:eastAsia="en-AU" w:bidi="en-AU"/>
        </w:rPr>
        <w:t xml:space="preserve"> report commissioned to inform WHO policy regarding</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e-cigarettes.</w:t>
      </w:r>
      <w:r>
        <w:rPr>
          <w:rFonts w:eastAsia="Times New Roman" w:cs="Times New Roman" w:ascii="Times New Roman" w:hAnsi="Times New Roman"/>
          <w:spacing w:val="-12"/>
          <w:sz w:val="24"/>
          <w:szCs w:val="24"/>
          <w:lang w:eastAsia="en-AU" w:bidi="en-AU"/>
        </w:rPr>
        <w:t xml:space="preserve"> </w:t>
      </w:r>
      <w:r>
        <w:rPr>
          <w:rFonts w:eastAsia="Times New Roman" w:cs="Times New Roman" w:ascii="Times New Roman" w:hAnsi="Times New Roman"/>
          <w:sz w:val="24"/>
          <w:szCs w:val="24"/>
          <w:lang w:eastAsia="en-AU" w:bidi="en-AU"/>
        </w:rPr>
        <w:t>The</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report</w:t>
      </w:r>
      <w:r>
        <w:rPr>
          <w:rFonts w:eastAsia="Times New Roman" w:cs="Times New Roman" w:ascii="Times New Roman" w:hAnsi="Times New Roman"/>
          <w:spacing w:val="-14"/>
          <w:sz w:val="24"/>
          <w:szCs w:val="24"/>
          <w:lang w:eastAsia="en-AU" w:bidi="en-AU"/>
        </w:rPr>
        <w:t xml:space="preserve"> </w:t>
      </w:r>
      <w:r>
        <w:rPr>
          <w:rFonts w:eastAsia="Times New Roman" w:cs="Times New Roman" w:ascii="Times New Roman" w:hAnsi="Times New Roman"/>
          <w:sz w:val="24"/>
          <w:szCs w:val="24"/>
          <w:lang w:eastAsia="en-AU" w:bidi="en-AU"/>
        </w:rPr>
        <w:t>had</w:t>
      </w:r>
      <w:r>
        <w:rPr>
          <w:rFonts w:eastAsia="Times New Roman" w:cs="Times New Roman" w:ascii="Times New Roman" w:hAnsi="Times New Roman"/>
          <w:spacing w:val="-12"/>
          <w:sz w:val="24"/>
          <w:szCs w:val="24"/>
          <w:lang w:eastAsia="en-AU" w:bidi="en-AU"/>
        </w:rPr>
        <w:t xml:space="preserve"> </w:t>
      </w:r>
      <w:r>
        <w:rPr>
          <w:rFonts w:eastAsia="Times New Roman" w:cs="Times New Roman" w:ascii="Times New Roman" w:hAnsi="Times New Roman"/>
          <w:sz w:val="24"/>
          <w:szCs w:val="24"/>
          <w:lang w:eastAsia="en-AU" w:bidi="en-AU"/>
        </w:rPr>
        <w:t>a</w:t>
      </w:r>
      <w:r>
        <w:rPr>
          <w:rFonts w:eastAsia="Times New Roman" w:cs="Times New Roman" w:ascii="Times New Roman" w:hAnsi="Times New Roman"/>
          <w:spacing w:val="-11"/>
          <w:sz w:val="24"/>
          <w:szCs w:val="24"/>
          <w:lang w:eastAsia="en-AU" w:bidi="en-AU"/>
        </w:rPr>
        <w:t xml:space="preserve"> </w:t>
      </w:r>
      <w:r>
        <w:rPr>
          <w:rFonts w:eastAsia="Times New Roman" w:cs="Times New Roman" w:ascii="Times New Roman" w:hAnsi="Times New Roman"/>
          <w:sz w:val="24"/>
          <w:szCs w:val="24"/>
          <w:lang w:eastAsia="en-AU" w:bidi="en-AU"/>
        </w:rPr>
        <w:t>focus</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on</w:t>
      </w:r>
      <w:r>
        <w:rPr>
          <w:rFonts w:eastAsia="Times New Roman" w:cs="Times New Roman" w:ascii="Times New Roman" w:hAnsi="Times New Roman"/>
          <w:spacing w:val="-10"/>
          <w:sz w:val="24"/>
          <w:szCs w:val="24"/>
          <w:lang w:eastAsia="en-AU" w:bidi="en-AU"/>
        </w:rPr>
        <w:t xml:space="preserve"> </w:t>
      </w:r>
      <w:r>
        <w:rPr>
          <w:rFonts w:eastAsia="Times New Roman" w:cs="Times New Roman" w:ascii="Times New Roman" w:hAnsi="Times New Roman"/>
          <w:sz w:val="24"/>
          <w:szCs w:val="24"/>
          <w:lang w:eastAsia="en-AU" w:bidi="en-AU"/>
        </w:rPr>
        <w:t>the</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risks</w:t>
      </w:r>
      <w:r>
        <w:rPr>
          <w:rFonts w:eastAsia="Times New Roman" w:cs="Times New Roman" w:ascii="Times New Roman" w:hAnsi="Times New Roman"/>
          <w:spacing w:val="-12"/>
          <w:sz w:val="24"/>
          <w:szCs w:val="24"/>
          <w:lang w:eastAsia="en-AU" w:bidi="en-AU"/>
        </w:rPr>
        <w:t xml:space="preserve"> </w:t>
      </w:r>
      <w:r>
        <w:rPr>
          <w:rFonts w:eastAsia="Times New Roman" w:cs="Times New Roman" w:ascii="Times New Roman" w:hAnsi="Times New Roman"/>
          <w:sz w:val="24"/>
          <w:szCs w:val="24"/>
          <w:lang w:eastAsia="en-AU" w:bidi="en-AU"/>
        </w:rPr>
        <w:t>of</w:t>
      </w:r>
      <w:r>
        <w:rPr>
          <w:rFonts w:eastAsia="Times New Roman" w:cs="Times New Roman" w:ascii="Times New Roman" w:hAnsi="Times New Roman"/>
          <w:spacing w:val="-14"/>
          <w:sz w:val="24"/>
          <w:szCs w:val="24"/>
          <w:lang w:eastAsia="en-AU" w:bidi="en-AU"/>
        </w:rPr>
        <w:t xml:space="preserve"> </w:t>
      </w:r>
      <w:r>
        <w:rPr>
          <w:rFonts w:eastAsia="Times New Roman" w:cs="Times New Roman" w:ascii="Times New Roman" w:hAnsi="Times New Roman"/>
          <w:sz w:val="24"/>
          <w:szCs w:val="24"/>
          <w:lang w:eastAsia="en-AU" w:bidi="en-AU"/>
        </w:rPr>
        <w:t>e-cigarette</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use</w:t>
      </w:r>
      <w:r>
        <w:rPr>
          <w:rFonts w:eastAsia="Times New Roman" w:cs="Times New Roman" w:ascii="Times New Roman" w:hAnsi="Times New Roman"/>
          <w:spacing w:val="-11"/>
          <w:sz w:val="24"/>
          <w:szCs w:val="24"/>
          <w:lang w:eastAsia="en-AU" w:bidi="en-AU"/>
        </w:rPr>
        <w:t xml:space="preserve"> </w:t>
      </w:r>
      <w:r>
        <w:rPr>
          <w:rFonts w:eastAsia="Times New Roman" w:cs="Times New Roman" w:ascii="Times New Roman" w:hAnsi="Times New Roman"/>
          <w:sz w:val="24"/>
          <w:szCs w:val="24"/>
          <w:lang w:eastAsia="en-AU" w:bidi="en-AU"/>
        </w:rPr>
        <w:t>as</w:t>
      </w:r>
      <w:r>
        <w:rPr>
          <w:rFonts w:eastAsia="Times New Roman" w:cs="Times New Roman" w:ascii="Times New Roman" w:hAnsi="Times New Roman"/>
          <w:spacing w:val="-13"/>
          <w:sz w:val="24"/>
          <w:szCs w:val="24"/>
          <w:lang w:eastAsia="en-AU" w:bidi="en-AU"/>
        </w:rPr>
        <w:t xml:space="preserve"> </w:t>
      </w:r>
      <w:r>
        <w:rPr>
          <w:rFonts w:eastAsia="Times New Roman" w:cs="Times New Roman" w:ascii="Times New Roman" w:hAnsi="Times New Roman"/>
          <w:sz w:val="24"/>
          <w:szCs w:val="24"/>
          <w:lang w:eastAsia="en-AU" w:bidi="en-AU"/>
        </w:rPr>
        <w:t>a</w:t>
      </w:r>
      <w:r>
        <w:rPr>
          <w:rFonts w:eastAsia="Times New Roman" w:cs="Times New Roman" w:ascii="Times New Roman" w:hAnsi="Times New Roman"/>
          <w:spacing w:val="-11"/>
          <w:sz w:val="24"/>
          <w:szCs w:val="24"/>
          <w:lang w:eastAsia="en-AU" w:bidi="en-AU"/>
        </w:rPr>
        <w:t xml:space="preserve"> </w:t>
      </w:r>
      <w:r>
        <w:rPr>
          <w:rFonts w:eastAsia="Times New Roman" w:cs="Times New Roman" w:ascii="Times New Roman" w:hAnsi="Times New Roman"/>
          <w:sz w:val="24"/>
          <w:szCs w:val="24"/>
          <w:lang w:eastAsia="en-AU" w:bidi="en-AU"/>
        </w:rPr>
        <w:t>‘gateway’</w:t>
      </w:r>
      <w:r>
        <w:rPr>
          <w:rFonts w:eastAsia="Times New Roman" w:cs="Times New Roman" w:ascii="Times New Roman" w:hAnsi="Times New Roman"/>
          <w:spacing w:val="-11"/>
          <w:sz w:val="24"/>
          <w:szCs w:val="24"/>
          <w:lang w:eastAsia="en-AU" w:bidi="en-AU"/>
        </w:rPr>
        <w:t xml:space="preserve"> </w:t>
      </w:r>
      <w:r>
        <w:rPr>
          <w:rFonts w:eastAsia="Times New Roman" w:cs="Times New Roman" w:ascii="Times New Roman" w:hAnsi="Times New Roman"/>
          <w:sz w:val="24"/>
          <w:szCs w:val="24"/>
          <w:lang w:eastAsia="en-AU" w:bidi="en-AU"/>
        </w:rPr>
        <w:t>to</w:t>
      </w:r>
      <w:r>
        <w:rPr>
          <w:rFonts w:eastAsia="Times New Roman" w:cs="Times New Roman" w:ascii="Times New Roman" w:hAnsi="Times New Roman"/>
          <w:spacing w:val="-12"/>
          <w:sz w:val="24"/>
          <w:szCs w:val="24"/>
          <w:lang w:eastAsia="en-AU" w:bidi="en-AU"/>
        </w:rPr>
        <w:t xml:space="preserve"> </w:t>
      </w:r>
      <w:r>
        <w:rPr>
          <w:rFonts w:eastAsia="Times New Roman" w:cs="Times New Roman" w:ascii="Times New Roman" w:hAnsi="Times New Roman"/>
          <w:sz w:val="24"/>
          <w:szCs w:val="24"/>
          <w:lang w:eastAsia="en-AU" w:bidi="en-AU"/>
        </w:rPr>
        <w:t>cigarette use by young people. The report informed the development of policy at the meeting of parties to the WHO COP Framework Convention on Tobacco</w:t>
      </w:r>
      <w:r>
        <w:rPr>
          <w:rFonts w:eastAsia="Times New Roman" w:cs="Times New Roman" w:ascii="Times New Roman" w:hAnsi="Times New Roman"/>
          <w:spacing w:val="1"/>
          <w:sz w:val="24"/>
          <w:szCs w:val="24"/>
          <w:lang w:eastAsia="en-AU" w:bidi="en-AU"/>
        </w:rPr>
        <w:t xml:space="preserve"> </w:t>
      </w:r>
      <w:r>
        <w:rPr>
          <w:rFonts w:eastAsia="Times New Roman" w:cs="Times New Roman" w:ascii="Times New Roman" w:hAnsi="Times New Roman"/>
          <w:sz w:val="24"/>
          <w:szCs w:val="24"/>
          <w:lang w:eastAsia="en-AU" w:bidi="en-AU"/>
        </w:rPr>
        <w:t>Control.</w:t>
      </w:r>
    </w:p>
    <w:p>
      <w:pPr>
        <w:pStyle w:val="Normal"/>
        <w:spacing w:before="0" w:after="60"/>
        <w:jc w:val="both"/>
        <w:rPr>
          <w:rFonts w:ascii="Times New Roman" w:hAnsi="Times New Roman" w:eastAsia="Times New Roman" w:cs="Times New Roman"/>
          <w:b/>
          <w:b/>
          <w:sz w:val="24"/>
          <w:szCs w:val="24"/>
          <w:lang w:eastAsia="en-AU"/>
        </w:rPr>
      </w:pPr>
      <w:r>
        <w:rPr>
          <w:rFonts w:eastAsia="Times New Roman" w:cs="Times New Roman" w:ascii="Times New Roman" w:hAnsi="Times New Roman"/>
          <w:b/>
          <w:sz w:val="24"/>
          <w:szCs w:val="24"/>
          <w:lang w:eastAsia="en-AU"/>
        </w:rPr>
      </w:r>
    </w:p>
    <w:p>
      <w:pPr>
        <w:pStyle w:val="Normal"/>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p>
      <w:pPr>
        <w:pStyle w:val="Normal"/>
        <w:spacing w:before="0" w:after="60"/>
        <w:jc w:val="both"/>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i w:val="fals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4e5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f4e58"/>
    <w:rPr>
      <w:sz w:val="16"/>
      <w:szCs w:val="16"/>
    </w:rPr>
  </w:style>
  <w:style w:type="character" w:styleId="CommentTextChar" w:customStyle="1">
    <w:name w:val="Comment Text Char"/>
    <w:basedOn w:val="DefaultParagraphFont"/>
    <w:link w:val="CommentText"/>
    <w:uiPriority w:val="99"/>
    <w:semiHidden/>
    <w:qFormat/>
    <w:rsid w:val="007f4e58"/>
    <w:rPr>
      <w:sz w:val="20"/>
      <w:szCs w:val="20"/>
    </w:rPr>
  </w:style>
  <w:style w:type="character" w:styleId="ListParagraphChar" w:customStyle="1">
    <w:name w:val="List Paragraph Char"/>
    <w:link w:val="ListParagraph"/>
    <w:uiPriority w:val="34"/>
    <w:qFormat/>
    <w:locked/>
    <w:rsid w:val="007f4e58"/>
    <w:rPr/>
  </w:style>
  <w:style w:type="character" w:styleId="BalloonTextChar" w:customStyle="1">
    <w:name w:val="Balloon Text Char"/>
    <w:basedOn w:val="DefaultParagraphFont"/>
    <w:link w:val="BalloonText"/>
    <w:uiPriority w:val="99"/>
    <w:semiHidden/>
    <w:qFormat/>
    <w:rsid w:val="007f4e5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link w:val="ListParagraphChar"/>
    <w:uiPriority w:val="34"/>
    <w:qFormat/>
    <w:rsid w:val="007f4e58"/>
    <w:pPr>
      <w:spacing w:before="0" w:after="0"/>
      <w:ind w:left="720" w:hanging="0"/>
      <w:contextualSpacing/>
    </w:pPr>
    <w:rPr/>
  </w:style>
  <w:style w:type="paragraph" w:styleId="Annotationtext">
    <w:name w:val="annotation text"/>
    <w:basedOn w:val="Normal"/>
    <w:link w:val="CommentTextChar"/>
    <w:uiPriority w:val="99"/>
    <w:semiHidden/>
    <w:unhideWhenUsed/>
    <w:qFormat/>
    <w:rsid w:val="007f4e58"/>
    <w:pPr/>
    <w:rPr>
      <w:sz w:val="20"/>
      <w:szCs w:val="20"/>
    </w:rPr>
  </w:style>
  <w:style w:type="paragraph" w:styleId="BalloonText">
    <w:name w:val="Balloon Text"/>
    <w:basedOn w:val="Normal"/>
    <w:link w:val="BalloonTextChar"/>
    <w:uiPriority w:val="99"/>
    <w:semiHidden/>
    <w:unhideWhenUsed/>
    <w:qFormat/>
    <w:rsid w:val="007f4e58"/>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AF488FA0DC7247B8EED365B6C7F421" ma:contentTypeVersion="13" ma:contentTypeDescription="Create a new document." ma:contentTypeScope="" ma:versionID="3be9105a9336e76b8056f743444348ad">
  <xsd:schema xmlns:xsd="http://www.w3.org/2001/XMLSchema" xmlns:xs="http://www.w3.org/2001/XMLSchema" xmlns:p="http://schemas.microsoft.com/office/2006/metadata/properties" xmlns:ns3="52d314ac-327d-47d3-aa94-e69696b0f9d8" xmlns:ns4="a7b92f56-ba99-4240-a4da-56eb0b153086" targetNamespace="http://schemas.microsoft.com/office/2006/metadata/properties" ma:root="true" ma:fieldsID="06df66cf8f27259eeee59cd710f64c6a" ns3:_="" ns4:_="">
    <xsd:import namespace="52d314ac-327d-47d3-aa94-e69696b0f9d8"/>
    <xsd:import namespace="a7b92f56-ba99-4240-a4da-56eb0b1530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314ac-327d-47d3-aa94-e69696b0f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b92f56-ba99-4240-a4da-56eb0b1530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7035D-07EB-406A-816C-5BBE16F837A0}">
  <ds:schemaRefs>
    <ds:schemaRef ds:uri="http://schemas.microsoft.com/office/2006/metadata/properties"/>
    <ds:schemaRef ds:uri="http://purl.org/dc/terms/"/>
    <ds:schemaRef ds:uri="52d314ac-327d-47d3-aa94-e69696b0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a7b92f56-ba99-4240-a4da-56eb0b153086"/>
    <ds:schemaRef ds:uri="http://www.w3.org/XML/1998/namespace"/>
    <ds:schemaRef ds:uri="http://purl.org/dc/dcmitype/"/>
  </ds:schemaRefs>
</ds:datastoreItem>
</file>

<file path=customXml/itemProps2.xml><?xml version="1.0" encoding="utf-8"?>
<ds:datastoreItem xmlns:ds="http://schemas.openxmlformats.org/officeDocument/2006/customXml" ds:itemID="{8ABDD468-714A-4574-BB12-B9D25F41A2D7}">
  <ds:schemaRefs>
    <ds:schemaRef ds:uri="http://schemas.microsoft.com/sharepoint/v3/contenttype/forms"/>
  </ds:schemaRefs>
</ds:datastoreItem>
</file>

<file path=customXml/itemProps3.xml><?xml version="1.0" encoding="utf-8"?>
<ds:datastoreItem xmlns:ds="http://schemas.openxmlformats.org/officeDocument/2006/customXml" ds:itemID="{D7CCBA88-C7EC-45E9-9FDE-7FAFE14FA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d314ac-327d-47d3-aa94-e69696b0f9d8"/>
    <ds:schemaRef ds:uri="a7b92f56-ba99-4240-a4da-56eb0b153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3</Pages>
  <Words>1000</Words>
  <Characters>5672</Characters>
  <CharactersWithSpaces>6661</CharactersWithSpaces>
  <Paragraphs>17</Paragraphs>
  <Company>The University of Newcastle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2020-01-24T00:25:00Z</dcterms:created>
  <dc:creator>Bree Hobden</dc:creator>
  <dc:description/>
  <dc:language>en-AU</dc:language>
  <cp:lastModifiedBy>Chris Oldmeadow</cp:lastModifiedBy>
  <dcterms:modified xsi:type="dcterms:W3CDTF">2020-11-02T12:18:20Z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Newcastle</vt:lpwstr>
  </property>
  <property fmtid="{D5CDD505-2E9C-101B-9397-08002B2CF9AE}" pid="4" name="ContentTypeId">
    <vt:lpwstr>0x010100F7AF488FA0DC7247B8EED365B6C7F421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