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A990" w14:textId="47AB0EC2" w:rsidR="0035560A" w:rsidRPr="008401BA" w:rsidRDefault="0072422C" w:rsidP="0072422C">
      <w:pPr>
        <w:spacing w:after="0" w:line="240" w:lineRule="auto"/>
        <w:rPr>
          <w:rFonts w:ascii="Noto Sans" w:hAnsi="Noto Sans"/>
          <w:b/>
          <w:bCs/>
          <w:color w:val="0074B7" w:themeColor="background2"/>
          <w:sz w:val="24"/>
          <w:szCs w:val="24"/>
        </w:rPr>
      </w:pPr>
      <w:bookmarkStart w:id="0" w:name="_Hlk148014988"/>
      <w:r w:rsidRPr="008401BA">
        <w:rPr>
          <w:rFonts w:ascii="Noto Sans" w:hAnsi="Noto Sans"/>
          <w:b/>
          <w:bCs/>
          <w:color w:val="0074B7" w:themeColor="background2"/>
          <w:sz w:val="24"/>
          <w:szCs w:val="24"/>
        </w:rPr>
        <w:t>Data Project</w:t>
      </w:r>
    </w:p>
    <w:p w14:paraId="08620FBB" w14:textId="5D5A5E3F" w:rsidR="0072422C" w:rsidRPr="008401BA" w:rsidRDefault="0072422C" w:rsidP="0072422C">
      <w:pPr>
        <w:spacing w:after="0" w:line="240" w:lineRule="auto"/>
        <w:rPr>
          <w:rFonts w:ascii="Noto Sans" w:hAnsi="Noto Sans"/>
          <w:sz w:val="20"/>
          <w:szCs w:val="20"/>
        </w:rPr>
      </w:pPr>
    </w:p>
    <w:p w14:paraId="4A1592BF" w14:textId="24B6D230" w:rsidR="0072422C" w:rsidRPr="008401BA" w:rsidRDefault="0072422C" w:rsidP="0072422C">
      <w:pPr>
        <w:spacing w:after="0" w:line="240" w:lineRule="auto"/>
        <w:rPr>
          <w:rFonts w:ascii="Noto Sans" w:hAnsi="Noto Sans"/>
          <w:sz w:val="20"/>
          <w:szCs w:val="20"/>
        </w:rPr>
      </w:pPr>
      <w:r w:rsidRPr="008401BA">
        <w:rPr>
          <w:rFonts w:ascii="Noto Sans" w:hAnsi="Noto Sans"/>
          <w:sz w:val="20"/>
          <w:szCs w:val="20"/>
        </w:rPr>
        <w:t xml:space="preserve">An Excel file, </w:t>
      </w:r>
      <w:r w:rsidRPr="008401BA">
        <w:rPr>
          <w:rFonts w:ascii="Noto Sans" w:hAnsi="Noto Sans"/>
          <w:b/>
          <w:bCs/>
          <w:sz w:val="20"/>
          <w:szCs w:val="20"/>
        </w:rPr>
        <w:t>SDRProject</w:t>
      </w:r>
      <w:r w:rsidRPr="008401BA">
        <w:rPr>
          <w:rFonts w:ascii="Noto Sans" w:hAnsi="Noto Sans"/>
          <w:sz w:val="20"/>
          <w:szCs w:val="20"/>
        </w:rPr>
        <w:t>, is being provided to get a sense of how the candidate(s) for the position can work with a data set and manipulate the data into a required format.</w:t>
      </w:r>
    </w:p>
    <w:p w14:paraId="75A7C64E" w14:textId="32CC3259" w:rsidR="0072422C" w:rsidRPr="008401BA" w:rsidRDefault="0072422C" w:rsidP="0072422C">
      <w:pPr>
        <w:spacing w:after="0" w:line="240" w:lineRule="auto"/>
        <w:rPr>
          <w:rFonts w:ascii="Noto Sans" w:hAnsi="Noto Sans"/>
          <w:sz w:val="20"/>
          <w:szCs w:val="20"/>
        </w:rPr>
      </w:pPr>
    </w:p>
    <w:p w14:paraId="4DE034E2" w14:textId="61B2DA4A" w:rsidR="00F05F7B" w:rsidRPr="008401BA" w:rsidRDefault="008401BA" w:rsidP="00F05F7B">
      <w:pPr>
        <w:spacing w:after="0" w:line="240" w:lineRule="auto"/>
        <w:rPr>
          <w:rFonts w:ascii="Noto Sans" w:hAnsi="Noto Sans"/>
          <w:b/>
          <w:bCs/>
          <w:color w:val="7D3787" w:themeColor="accent3"/>
          <w:sz w:val="20"/>
          <w:szCs w:val="20"/>
        </w:rPr>
      </w:pPr>
      <w:r w:rsidRPr="008401BA">
        <w:rPr>
          <w:rFonts w:ascii="Noto Sans" w:hAnsi="Noto Sans"/>
          <w:b/>
          <w:bCs/>
          <w:color w:val="7D3787" w:themeColor="accent3"/>
          <w:sz w:val="20"/>
          <w:szCs w:val="20"/>
        </w:rPr>
        <w:t>Phase 1</w:t>
      </w:r>
      <w:r w:rsidR="00760037">
        <w:rPr>
          <w:rFonts w:ascii="Noto Sans" w:hAnsi="Noto Sans"/>
          <w:b/>
          <w:bCs/>
          <w:color w:val="7D3787" w:themeColor="accent3"/>
          <w:sz w:val="20"/>
          <w:szCs w:val="20"/>
        </w:rPr>
        <w:t xml:space="preserve"> – Data Manipulation</w:t>
      </w:r>
    </w:p>
    <w:p w14:paraId="6A20B3BB" w14:textId="628BCF80" w:rsidR="00064046" w:rsidRDefault="00064046" w:rsidP="00064046">
      <w:pPr>
        <w:spacing w:after="0" w:line="240" w:lineRule="auto"/>
        <w:rPr>
          <w:rFonts w:ascii="Noto Sans" w:hAnsi="Noto Sans"/>
          <w:sz w:val="20"/>
          <w:szCs w:val="20"/>
        </w:rPr>
      </w:pPr>
      <w:r>
        <w:rPr>
          <w:rFonts w:ascii="Noto Sans" w:hAnsi="Noto Sans"/>
          <w:sz w:val="20"/>
          <w:szCs w:val="20"/>
        </w:rPr>
        <w:t>The candidate should consider that the data set will be updated each quarter and should try to create a scenario that this can be updated as efficiently as possible.</w:t>
      </w:r>
    </w:p>
    <w:p w14:paraId="12F8FD2D" w14:textId="77777777" w:rsidR="00064046" w:rsidRPr="00064046" w:rsidRDefault="00064046" w:rsidP="00064046">
      <w:pPr>
        <w:spacing w:after="0" w:line="240" w:lineRule="auto"/>
        <w:rPr>
          <w:rFonts w:ascii="Noto Sans" w:hAnsi="Noto Sans"/>
          <w:sz w:val="20"/>
          <w:szCs w:val="20"/>
        </w:rPr>
      </w:pPr>
    </w:p>
    <w:p w14:paraId="7146D989" w14:textId="1512AE82" w:rsidR="00F05F7B" w:rsidRDefault="00F05F7B" w:rsidP="00F05F7B">
      <w:pPr>
        <w:pStyle w:val="ListParagraph"/>
        <w:numPr>
          <w:ilvl w:val="0"/>
          <w:numId w:val="2"/>
        </w:numPr>
        <w:spacing w:after="0" w:line="240" w:lineRule="auto"/>
        <w:rPr>
          <w:rFonts w:ascii="Noto Sans" w:hAnsi="Noto Sans"/>
          <w:sz w:val="20"/>
          <w:szCs w:val="20"/>
        </w:rPr>
      </w:pPr>
      <w:r w:rsidRPr="008401BA">
        <w:rPr>
          <w:rFonts w:ascii="Noto Sans" w:hAnsi="Noto Sans"/>
          <w:sz w:val="20"/>
          <w:szCs w:val="20"/>
        </w:rPr>
        <w:t xml:space="preserve">Convert the </w:t>
      </w:r>
      <w:r w:rsidRPr="008401BA">
        <w:rPr>
          <w:rFonts w:ascii="Noto Sans" w:hAnsi="Noto Sans"/>
          <w:b/>
          <w:bCs/>
          <w:sz w:val="20"/>
          <w:szCs w:val="20"/>
        </w:rPr>
        <w:t>Quarter/Year (Asset Date)</w:t>
      </w:r>
      <w:r w:rsidRPr="008401BA">
        <w:rPr>
          <w:rFonts w:ascii="Noto Sans" w:hAnsi="Noto Sans"/>
          <w:sz w:val="20"/>
          <w:szCs w:val="20"/>
        </w:rPr>
        <w:t xml:space="preserve"> data, which will be seen as Q1/2020, Q2/2020, etc. into a </w:t>
      </w:r>
      <w:r w:rsidR="00064046">
        <w:rPr>
          <w:rFonts w:ascii="Noto Sans" w:hAnsi="Noto Sans"/>
          <w:sz w:val="20"/>
          <w:szCs w:val="20"/>
        </w:rPr>
        <w:t xml:space="preserve">proper </w:t>
      </w:r>
      <w:r w:rsidRPr="008401BA">
        <w:rPr>
          <w:rFonts w:ascii="Noto Sans" w:hAnsi="Noto Sans"/>
          <w:sz w:val="20"/>
          <w:szCs w:val="20"/>
        </w:rPr>
        <w:t>date format (i.e. 3/31/2020, 6/30/2020, etc.)</w:t>
      </w:r>
    </w:p>
    <w:p w14:paraId="45F9EB6C" w14:textId="6C934B2C" w:rsidR="000C0662" w:rsidRPr="008401BA" w:rsidRDefault="000C0662" w:rsidP="00F05F7B">
      <w:pPr>
        <w:pStyle w:val="ListParagraph"/>
        <w:numPr>
          <w:ilvl w:val="0"/>
          <w:numId w:val="2"/>
        </w:numPr>
        <w:spacing w:after="0" w:line="240" w:lineRule="auto"/>
        <w:rPr>
          <w:rFonts w:ascii="Noto Sans" w:hAnsi="Noto Sans"/>
          <w:sz w:val="20"/>
          <w:szCs w:val="20"/>
        </w:rPr>
      </w:pPr>
      <w:r>
        <w:rPr>
          <w:rFonts w:ascii="Noto Sans" w:hAnsi="Noto Sans"/>
          <w:sz w:val="20"/>
          <w:szCs w:val="20"/>
        </w:rPr>
        <w:t>Clean the Product Display Lens data to remove instances of “</w:t>
      </w:r>
      <w:r w:rsidRPr="000C0662">
        <w:rPr>
          <w:rFonts w:ascii="Noto Sans" w:hAnsi="Noto Sans"/>
          <w:sz w:val="20"/>
          <w:szCs w:val="20"/>
        </w:rPr>
        <w:t>- Active</w:t>
      </w:r>
      <w:r>
        <w:rPr>
          <w:rFonts w:ascii="Noto Sans" w:hAnsi="Noto Sans"/>
          <w:sz w:val="20"/>
          <w:szCs w:val="20"/>
        </w:rPr>
        <w:t>” and “ – Passive”. For example, all instances of “</w:t>
      </w:r>
      <w:r w:rsidRPr="000C0662">
        <w:rPr>
          <w:rFonts w:ascii="Noto Sans" w:hAnsi="Noto Sans"/>
          <w:sz w:val="20"/>
          <w:szCs w:val="20"/>
        </w:rPr>
        <w:t xml:space="preserve">Equities Global </w:t>
      </w:r>
      <w:r w:rsidR="00064046">
        <w:rPr>
          <w:rFonts w:ascii="Noto Sans" w:hAnsi="Noto Sans"/>
          <w:sz w:val="20"/>
          <w:szCs w:val="20"/>
        </w:rPr>
        <w:t>–</w:t>
      </w:r>
      <w:r w:rsidRPr="000C0662">
        <w:rPr>
          <w:rFonts w:ascii="Noto Sans" w:hAnsi="Noto Sans"/>
          <w:sz w:val="20"/>
          <w:szCs w:val="20"/>
        </w:rPr>
        <w:t xml:space="preserve"> Passive</w:t>
      </w:r>
      <w:r w:rsidR="00064046">
        <w:rPr>
          <w:rFonts w:ascii="Noto Sans" w:hAnsi="Noto Sans"/>
          <w:sz w:val="20"/>
          <w:szCs w:val="20"/>
        </w:rPr>
        <w:t>” become “Equities Global” and “</w:t>
      </w:r>
      <w:r w:rsidR="00064046" w:rsidRPr="00064046">
        <w:rPr>
          <w:rFonts w:ascii="Noto Sans" w:hAnsi="Noto Sans"/>
          <w:sz w:val="20"/>
          <w:szCs w:val="20"/>
        </w:rPr>
        <w:t xml:space="preserve">Equities Asia Pacific </w:t>
      </w:r>
      <w:r w:rsidR="00064046">
        <w:rPr>
          <w:rFonts w:ascii="Noto Sans" w:hAnsi="Noto Sans"/>
          <w:sz w:val="20"/>
          <w:szCs w:val="20"/>
        </w:rPr>
        <w:t>–</w:t>
      </w:r>
      <w:r w:rsidR="00064046" w:rsidRPr="00064046">
        <w:rPr>
          <w:rFonts w:ascii="Noto Sans" w:hAnsi="Noto Sans"/>
          <w:sz w:val="20"/>
          <w:szCs w:val="20"/>
        </w:rPr>
        <w:t xml:space="preserve"> Active</w:t>
      </w:r>
      <w:r w:rsidR="00064046">
        <w:rPr>
          <w:rFonts w:ascii="Noto Sans" w:hAnsi="Noto Sans"/>
          <w:sz w:val="20"/>
          <w:szCs w:val="20"/>
        </w:rPr>
        <w:t>” should become “</w:t>
      </w:r>
      <w:r w:rsidR="00064046" w:rsidRPr="00064046">
        <w:rPr>
          <w:rFonts w:ascii="Noto Sans" w:hAnsi="Noto Sans"/>
          <w:sz w:val="20"/>
          <w:szCs w:val="20"/>
        </w:rPr>
        <w:t>Equities Asia Pacific</w:t>
      </w:r>
      <w:r w:rsidR="00064046">
        <w:rPr>
          <w:rFonts w:ascii="Noto Sans" w:hAnsi="Noto Sans"/>
          <w:sz w:val="20"/>
          <w:szCs w:val="20"/>
        </w:rPr>
        <w:t xml:space="preserve">”. Note: The </w:t>
      </w:r>
      <w:r w:rsidR="00064046" w:rsidRPr="00064046">
        <w:rPr>
          <w:rFonts w:ascii="Noto Sans" w:hAnsi="Noto Sans"/>
          <w:b/>
          <w:bCs/>
          <w:sz w:val="20"/>
          <w:szCs w:val="20"/>
        </w:rPr>
        <w:t>Fund Strategy</w:t>
      </w:r>
      <w:r w:rsidR="00064046">
        <w:rPr>
          <w:rFonts w:ascii="Noto Sans" w:hAnsi="Noto Sans"/>
          <w:sz w:val="20"/>
          <w:szCs w:val="20"/>
        </w:rPr>
        <w:t xml:space="preserve"> field is to remain untouched.</w:t>
      </w:r>
    </w:p>
    <w:p w14:paraId="30591FC4" w14:textId="1F2E7C11" w:rsidR="00F05F7B" w:rsidRPr="008401BA" w:rsidRDefault="00F05F7B" w:rsidP="00F05F7B">
      <w:pPr>
        <w:pStyle w:val="ListParagraph"/>
        <w:numPr>
          <w:ilvl w:val="0"/>
          <w:numId w:val="2"/>
        </w:numPr>
        <w:spacing w:after="0" w:line="240" w:lineRule="auto"/>
        <w:rPr>
          <w:rFonts w:ascii="Noto Sans" w:hAnsi="Noto Sans"/>
          <w:sz w:val="20"/>
          <w:szCs w:val="20"/>
        </w:rPr>
      </w:pPr>
      <w:r w:rsidRPr="008401BA">
        <w:rPr>
          <w:rFonts w:ascii="Noto Sans" w:hAnsi="Noto Sans"/>
          <w:sz w:val="20"/>
          <w:szCs w:val="20"/>
        </w:rPr>
        <w:t xml:space="preserve">Convert the </w:t>
      </w:r>
      <w:r w:rsidRPr="008401BA">
        <w:rPr>
          <w:rFonts w:ascii="Noto Sans" w:hAnsi="Noto Sans"/>
          <w:b/>
          <w:bCs/>
          <w:sz w:val="20"/>
          <w:szCs w:val="20"/>
        </w:rPr>
        <w:t>AUM</w:t>
      </w:r>
      <w:r w:rsidRPr="008401BA">
        <w:rPr>
          <w:rFonts w:ascii="Noto Sans" w:hAnsi="Noto Sans"/>
          <w:sz w:val="20"/>
          <w:szCs w:val="20"/>
        </w:rPr>
        <w:t xml:space="preserve"> and </w:t>
      </w:r>
      <w:r w:rsidRPr="008401BA">
        <w:rPr>
          <w:rFonts w:ascii="Noto Sans" w:hAnsi="Noto Sans"/>
          <w:b/>
          <w:bCs/>
          <w:sz w:val="20"/>
          <w:szCs w:val="20"/>
        </w:rPr>
        <w:t>NetFlow</w:t>
      </w:r>
      <w:r w:rsidRPr="008401BA">
        <w:rPr>
          <w:rFonts w:ascii="Noto Sans" w:hAnsi="Noto Sans"/>
          <w:sz w:val="20"/>
          <w:szCs w:val="20"/>
        </w:rPr>
        <w:t xml:space="preserve"> fields into Currency.</w:t>
      </w:r>
    </w:p>
    <w:p w14:paraId="00951A05" w14:textId="5AA33196" w:rsidR="008401BA" w:rsidRPr="008401BA" w:rsidRDefault="00F05F7B" w:rsidP="008401BA">
      <w:pPr>
        <w:pStyle w:val="ListParagraph"/>
        <w:numPr>
          <w:ilvl w:val="0"/>
          <w:numId w:val="2"/>
        </w:numPr>
        <w:spacing w:after="0" w:line="240" w:lineRule="auto"/>
        <w:rPr>
          <w:rFonts w:ascii="Noto Sans" w:hAnsi="Noto Sans"/>
          <w:sz w:val="20"/>
          <w:szCs w:val="20"/>
        </w:rPr>
      </w:pPr>
      <w:r w:rsidRPr="008401BA">
        <w:rPr>
          <w:rFonts w:ascii="Noto Sans" w:hAnsi="Noto Sans"/>
          <w:sz w:val="20"/>
          <w:szCs w:val="20"/>
        </w:rPr>
        <w:t xml:space="preserve">Map the </w:t>
      </w:r>
      <w:r w:rsidRPr="008401BA">
        <w:rPr>
          <w:rFonts w:ascii="Noto Sans" w:hAnsi="Noto Sans"/>
          <w:b/>
          <w:bCs/>
          <w:sz w:val="20"/>
          <w:szCs w:val="20"/>
        </w:rPr>
        <w:t>Client Sub Type</w:t>
      </w:r>
      <w:r w:rsidR="008401BA" w:rsidRPr="008401BA">
        <w:rPr>
          <w:rFonts w:ascii="Noto Sans" w:hAnsi="Noto Sans"/>
          <w:sz w:val="20"/>
          <w:szCs w:val="20"/>
        </w:rPr>
        <w:t xml:space="preserve"> to the below Client Group and Channel</w:t>
      </w:r>
      <w:r w:rsidR="00892BC6">
        <w:rPr>
          <w:rFonts w:ascii="Noto Sans" w:hAnsi="Noto Sans"/>
          <w:sz w:val="20"/>
          <w:szCs w:val="20"/>
        </w:rPr>
        <w:t>:</w:t>
      </w:r>
    </w:p>
    <w:p w14:paraId="37C43629" w14:textId="41BF73E4" w:rsidR="008401BA" w:rsidRPr="008401BA" w:rsidRDefault="008401BA" w:rsidP="008401BA">
      <w:pPr>
        <w:spacing w:after="0" w:line="240" w:lineRule="auto"/>
        <w:rPr>
          <w:rFonts w:ascii="Noto Sans" w:hAnsi="Noto Sans"/>
          <w:sz w:val="20"/>
          <w:szCs w:val="20"/>
        </w:rPr>
      </w:pPr>
    </w:p>
    <w:tbl>
      <w:tblPr>
        <w:tblW w:w="9160" w:type="dxa"/>
        <w:tblInd w:w="825" w:type="dxa"/>
        <w:tblLook w:val="04A0" w:firstRow="1" w:lastRow="0" w:firstColumn="1" w:lastColumn="0" w:noHBand="0" w:noVBand="1"/>
      </w:tblPr>
      <w:tblGrid>
        <w:gridCol w:w="4280"/>
        <w:gridCol w:w="2180"/>
        <w:gridCol w:w="2700"/>
      </w:tblGrid>
      <w:tr w:rsidR="008401BA" w:rsidRPr="008401BA" w14:paraId="3866108D" w14:textId="77777777" w:rsidTr="008401BA">
        <w:trPr>
          <w:trHeight w:val="315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000000" w:fill="BDE7FF"/>
            <w:noWrap/>
            <w:vAlign w:val="bottom"/>
            <w:hideMark/>
          </w:tcPr>
          <w:p w14:paraId="70914D8C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b/>
                <w:bCs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b/>
                <w:bCs/>
                <w:color w:val="0074B7"/>
                <w:sz w:val="18"/>
                <w:szCs w:val="18"/>
              </w:rPr>
              <w:t>Client Sub Type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0074B7"/>
            <w:noWrap/>
            <w:vAlign w:val="bottom"/>
            <w:hideMark/>
          </w:tcPr>
          <w:p w14:paraId="1158E6E1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b/>
                <w:bCs/>
                <w:color w:val="BDE7FF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b/>
                <w:bCs/>
                <w:color w:val="BDE7FF"/>
                <w:sz w:val="18"/>
                <w:szCs w:val="18"/>
              </w:rPr>
              <w:t>Client Group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0074B7"/>
            <w:noWrap/>
            <w:vAlign w:val="bottom"/>
            <w:hideMark/>
          </w:tcPr>
          <w:p w14:paraId="1A9DF253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b/>
                <w:bCs/>
                <w:color w:val="BDE7FF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b/>
                <w:bCs/>
                <w:color w:val="BDE7FF"/>
                <w:sz w:val="18"/>
                <w:szCs w:val="18"/>
              </w:rPr>
              <w:t>Channel</w:t>
            </w:r>
          </w:p>
        </w:tc>
      </w:tr>
      <w:tr w:rsidR="008401BA" w:rsidRPr="008401BA" w14:paraId="5A420587" w14:textId="77777777" w:rsidTr="008401BA">
        <w:trPr>
          <w:trHeight w:val="198"/>
        </w:trPr>
        <w:tc>
          <w:tcPr>
            <w:tcW w:w="42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3E95C61E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  <w:t>Asset manager &amp; sub-advised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12DE3F06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Wealth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73247FA6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AM &amp; Sub-Advised</w:t>
            </w:r>
          </w:p>
        </w:tc>
      </w:tr>
      <w:tr w:rsidR="008401BA" w:rsidRPr="008401BA" w14:paraId="7A71D132" w14:textId="77777777" w:rsidTr="008401BA">
        <w:trPr>
          <w:trHeight w:val="215"/>
        </w:trPr>
        <w:tc>
          <w:tcPr>
            <w:tcW w:w="42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31DB008F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  <w:t>DB - Private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39B132BC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Pensions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5DF42665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Defined Benefit</w:t>
            </w:r>
          </w:p>
        </w:tc>
      </w:tr>
      <w:tr w:rsidR="008401BA" w:rsidRPr="008401BA" w14:paraId="70EB8954" w14:textId="77777777" w:rsidTr="008401BA">
        <w:trPr>
          <w:trHeight w:val="70"/>
        </w:trPr>
        <w:tc>
          <w:tcPr>
            <w:tcW w:w="42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7B736991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  <w:t>DB - Public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15A5CA00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Pensions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14433240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Defined Benefit</w:t>
            </w:r>
          </w:p>
        </w:tc>
      </w:tr>
      <w:tr w:rsidR="008401BA" w:rsidRPr="008401BA" w14:paraId="7DD334EA" w14:textId="77777777" w:rsidTr="008401BA">
        <w:trPr>
          <w:trHeight w:val="70"/>
        </w:trPr>
        <w:tc>
          <w:tcPr>
            <w:tcW w:w="42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170051AE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  <w:t>DB - Taft-Hartley/Union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024A44ED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Pensions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7642DADD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Taft-Hartley</w:t>
            </w:r>
          </w:p>
        </w:tc>
      </w:tr>
      <w:tr w:rsidR="008401BA" w:rsidRPr="008401BA" w14:paraId="40F05019" w14:textId="77777777" w:rsidTr="008401BA">
        <w:trPr>
          <w:trHeight w:val="80"/>
        </w:trPr>
        <w:tc>
          <w:tcPr>
            <w:tcW w:w="42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2AA1E3AE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  <w:t>DB - Undefined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1FA848A1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Pensions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15F707BB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Defined Benefit</w:t>
            </w:r>
          </w:p>
        </w:tc>
      </w:tr>
      <w:tr w:rsidR="008401BA" w:rsidRPr="008401BA" w14:paraId="73A5A4FB" w14:textId="77777777" w:rsidTr="008401BA">
        <w:trPr>
          <w:trHeight w:val="70"/>
        </w:trPr>
        <w:tc>
          <w:tcPr>
            <w:tcW w:w="42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5E3DADA4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  <w:t>DC - Private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7F3B4F41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Pensions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215C7949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Defined Contribution</w:t>
            </w:r>
          </w:p>
        </w:tc>
      </w:tr>
      <w:tr w:rsidR="008401BA" w:rsidRPr="008401BA" w14:paraId="33883EDA" w14:textId="77777777" w:rsidTr="008401BA">
        <w:trPr>
          <w:trHeight w:val="70"/>
        </w:trPr>
        <w:tc>
          <w:tcPr>
            <w:tcW w:w="42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34B72B9E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  <w:t>DC - Public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72111EBE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Pensions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15D550C4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Defined Contribution</w:t>
            </w:r>
          </w:p>
        </w:tc>
      </w:tr>
      <w:tr w:rsidR="008401BA" w:rsidRPr="008401BA" w14:paraId="3168F37F" w14:textId="77777777" w:rsidTr="008401BA">
        <w:trPr>
          <w:trHeight w:val="125"/>
        </w:trPr>
        <w:tc>
          <w:tcPr>
            <w:tcW w:w="42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0CE00E42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  <w:t>DC - Taft-Hartley/Union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0A8FC462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Pensions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486DA53D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Taft-Hartley</w:t>
            </w:r>
          </w:p>
        </w:tc>
      </w:tr>
      <w:tr w:rsidR="008401BA" w:rsidRPr="008401BA" w14:paraId="1CDAE7D7" w14:textId="77777777" w:rsidTr="008401BA">
        <w:trPr>
          <w:trHeight w:val="70"/>
        </w:trPr>
        <w:tc>
          <w:tcPr>
            <w:tcW w:w="42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22521CEA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  <w:t>DC - Undefined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432C0550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Pensions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0AD4B2C5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Defined Contribution</w:t>
            </w:r>
          </w:p>
        </w:tc>
      </w:tr>
      <w:tr w:rsidR="008401BA" w:rsidRPr="008401BA" w14:paraId="5776EF4B" w14:textId="77777777" w:rsidTr="008401BA">
        <w:trPr>
          <w:trHeight w:val="70"/>
        </w:trPr>
        <w:tc>
          <w:tcPr>
            <w:tcW w:w="42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14FCE665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  <w:t>ETF Investor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451F6883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Wealth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60F94FCA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ETF Investor</w:t>
            </w:r>
          </w:p>
        </w:tc>
      </w:tr>
      <w:tr w:rsidR="008401BA" w:rsidRPr="008401BA" w14:paraId="1E514968" w14:textId="77777777" w:rsidTr="008401BA">
        <w:trPr>
          <w:trHeight w:val="80"/>
        </w:trPr>
        <w:tc>
          <w:tcPr>
            <w:tcW w:w="42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08C6F434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  <w:t>Family Office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53932E34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Long-Term Assets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50606D63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Family Office &amp; PB</w:t>
            </w:r>
          </w:p>
        </w:tc>
      </w:tr>
      <w:tr w:rsidR="008401BA" w:rsidRPr="008401BA" w14:paraId="1AC25BD5" w14:textId="77777777" w:rsidTr="008401BA">
        <w:trPr>
          <w:trHeight w:val="98"/>
        </w:trPr>
        <w:tc>
          <w:tcPr>
            <w:tcW w:w="42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2F79D779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  <w:t>Private Bank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704C1BBD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Long-Term Assets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32D1193F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Family Office &amp; PB</w:t>
            </w:r>
          </w:p>
        </w:tc>
      </w:tr>
      <w:tr w:rsidR="008401BA" w:rsidRPr="008401BA" w14:paraId="191C8C5E" w14:textId="77777777" w:rsidTr="008401BA">
        <w:trPr>
          <w:trHeight w:val="70"/>
        </w:trPr>
        <w:tc>
          <w:tcPr>
            <w:tcW w:w="42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2D49BAF8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  <w:t>529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0096859A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Other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29901FB1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Institutional (Other)</w:t>
            </w:r>
          </w:p>
        </w:tc>
      </w:tr>
      <w:tr w:rsidR="008401BA" w:rsidRPr="008401BA" w14:paraId="581FA1D8" w14:textId="77777777" w:rsidTr="008401BA">
        <w:trPr>
          <w:trHeight w:val="125"/>
        </w:trPr>
        <w:tc>
          <w:tcPr>
            <w:tcW w:w="42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7741A090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  <w:t>Consultant / OCIO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2BB9B587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Other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0E75CBFF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Institutional (Other)</w:t>
            </w:r>
          </w:p>
        </w:tc>
      </w:tr>
      <w:tr w:rsidR="008401BA" w:rsidRPr="008401BA" w14:paraId="36666F95" w14:textId="77777777" w:rsidTr="008401BA">
        <w:trPr>
          <w:trHeight w:val="70"/>
        </w:trPr>
        <w:tc>
          <w:tcPr>
            <w:tcW w:w="42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5090BBC0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  <w:t>Health and welfare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5B7F9E3F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Other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49E6CD7F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Institutional (Other)</w:t>
            </w:r>
          </w:p>
        </w:tc>
      </w:tr>
      <w:tr w:rsidR="008401BA" w:rsidRPr="008401BA" w14:paraId="23868546" w14:textId="77777777" w:rsidTr="008401BA">
        <w:trPr>
          <w:trHeight w:val="152"/>
        </w:trPr>
        <w:tc>
          <w:tcPr>
            <w:tcW w:w="42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12D376EE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  <w:t>Institutional undefined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55864D18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Other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1C487A3F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Institutional (Other)</w:t>
            </w:r>
          </w:p>
        </w:tc>
      </w:tr>
      <w:tr w:rsidR="008401BA" w:rsidRPr="008401BA" w14:paraId="13E1C60F" w14:textId="77777777" w:rsidTr="008401BA">
        <w:trPr>
          <w:trHeight w:val="80"/>
        </w:trPr>
        <w:tc>
          <w:tcPr>
            <w:tcW w:w="42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7AB3A5B8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  <w:t>Omnibus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58E97522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Other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0F3F8BC5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Institutional (Other)</w:t>
            </w:r>
          </w:p>
        </w:tc>
      </w:tr>
      <w:tr w:rsidR="008401BA" w:rsidRPr="008401BA" w14:paraId="13054EAF" w14:textId="77777777" w:rsidTr="008401BA">
        <w:trPr>
          <w:trHeight w:val="70"/>
        </w:trPr>
        <w:tc>
          <w:tcPr>
            <w:tcW w:w="42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5777D77C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  <w:t>Insurance General Account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2B928611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Insurance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2F2E01BC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Insurance GA</w:t>
            </w:r>
          </w:p>
        </w:tc>
      </w:tr>
      <w:tr w:rsidR="008401BA" w:rsidRPr="008401BA" w14:paraId="7EF7A788" w14:textId="77777777" w:rsidTr="008401BA">
        <w:trPr>
          <w:trHeight w:val="70"/>
        </w:trPr>
        <w:tc>
          <w:tcPr>
            <w:tcW w:w="42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4DA84AB1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  <w:t>Endowment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4C464E34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Long-Term Assets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4032FBEE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Non-Profit</w:t>
            </w:r>
          </w:p>
        </w:tc>
      </w:tr>
      <w:tr w:rsidR="008401BA" w:rsidRPr="008401BA" w14:paraId="1776E065" w14:textId="77777777" w:rsidTr="008401BA">
        <w:trPr>
          <w:trHeight w:val="125"/>
        </w:trPr>
        <w:tc>
          <w:tcPr>
            <w:tcW w:w="42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7DE316F2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  <w:t>Foundation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0BF43C93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Long-Term Assets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33C49437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Non-Profit</w:t>
            </w:r>
          </w:p>
        </w:tc>
      </w:tr>
      <w:tr w:rsidR="008401BA" w:rsidRPr="008401BA" w14:paraId="426294A7" w14:textId="77777777" w:rsidTr="008401BA">
        <w:trPr>
          <w:trHeight w:val="70"/>
        </w:trPr>
        <w:tc>
          <w:tcPr>
            <w:tcW w:w="42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468B3112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  <w:t>NDT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64E66A16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Long-Term Assets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7680B311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Non-Profit</w:t>
            </w:r>
          </w:p>
        </w:tc>
      </w:tr>
      <w:tr w:rsidR="008401BA" w:rsidRPr="008401BA" w14:paraId="2168F52A" w14:textId="77777777" w:rsidTr="008401BA">
        <w:trPr>
          <w:trHeight w:val="70"/>
        </w:trPr>
        <w:tc>
          <w:tcPr>
            <w:tcW w:w="42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5AED9FB6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  <w:t>Not for profit - other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6914E92C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Long-Term Assets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624237F1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Non-Profit</w:t>
            </w:r>
          </w:p>
        </w:tc>
      </w:tr>
      <w:tr w:rsidR="008401BA" w:rsidRPr="008401BA" w14:paraId="74478EFD" w14:textId="77777777" w:rsidTr="008401BA">
        <w:trPr>
          <w:trHeight w:val="70"/>
        </w:trPr>
        <w:tc>
          <w:tcPr>
            <w:tcW w:w="42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52921337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  <w:t>Retail/Wholesale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48F7FF58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Wealth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6D0BAF0E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Retail/Wholesale</w:t>
            </w:r>
          </w:p>
        </w:tc>
      </w:tr>
      <w:tr w:rsidR="008401BA" w:rsidRPr="008401BA" w14:paraId="520A1598" w14:textId="77777777" w:rsidTr="008401BA">
        <w:trPr>
          <w:trHeight w:val="70"/>
        </w:trPr>
        <w:tc>
          <w:tcPr>
            <w:tcW w:w="42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7845771E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  <w:t>Sovereign Wealth Fund/Official Institution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1BF7B9CE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Long-Term Assets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099FC9B7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SWF/Off. Inst.</w:t>
            </w:r>
          </w:p>
        </w:tc>
      </w:tr>
      <w:tr w:rsidR="008401BA" w:rsidRPr="008401BA" w14:paraId="71CE9712" w14:textId="77777777" w:rsidTr="008401BA">
        <w:trPr>
          <w:trHeight w:val="70"/>
        </w:trPr>
        <w:tc>
          <w:tcPr>
            <w:tcW w:w="42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67EB572F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  <w:t>Bank treasury/treasury undefined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4A7CA6A7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Long-Term Assets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2B1222D2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Treasury</w:t>
            </w:r>
          </w:p>
        </w:tc>
      </w:tr>
      <w:tr w:rsidR="008401BA" w:rsidRPr="008401BA" w14:paraId="05AA1FD9" w14:textId="77777777" w:rsidTr="008401BA">
        <w:trPr>
          <w:trHeight w:val="70"/>
        </w:trPr>
        <w:tc>
          <w:tcPr>
            <w:tcW w:w="42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1D868401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0000"/>
                <w:sz w:val="18"/>
                <w:szCs w:val="18"/>
              </w:rPr>
              <w:t>Corporate treasury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4C82D495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Long-Term Assets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CADB6"/>
              <w:right w:val="nil"/>
            </w:tcBorders>
            <w:shd w:val="clear" w:color="auto" w:fill="auto"/>
            <w:noWrap/>
            <w:vAlign w:val="bottom"/>
            <w:hideMark/>
          </w:tcPr>
          <w:p w14:paraId="52223723" w14:textId="77777777" w:rsidR="008401BA" w:rsidRPr="008401BA" w:rsidRDefault="008401BA" w:rsidP="008401BA">
            <w:pPr>
              <w:spacing w:after="0" w:line="240" w:lineRule="auto"/>
              <w:jc w:val="center"/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</w:pPr>
            <w:r w:rsidRPr="008401BA">
              <w:rPr>
                <w:rFonts w:ascii="Noto Sans" w:eastAsia="Times New Roman" w:hAnsi="Noto Sans" w:cs="Calibri"/>
                <w:color w:val="0074B7"/>
                <w:sz w:val="18"/>
                <w:szCs w:val="18"/>
              </w:rPr>
              <w:t>Treasury</w:t>
            </w:r>
          </w:p>
        </w:tc>
      </w:tr>
    </w:tbl>
    <w:p w14:paraId="68CDD81A" w14:textId="77777777" w:rsidR="008401BA" w:rsidRPr="008401BA" w:rsidRDefault="008401BA" w:rsidP="008401BA">
      <w:pPr>
        <w:spacing w:after="0" w:line="240" w:lineRule="auto"/>
        <w:ind w:left="720"/>
        <w:rPr>
          <w:rFonts w:ascii="Noto Sans" w:hAnsi="Noto Sans"/>
          <w:sz w:val="20"/>
          <w:szCs w:val="20"/>
        </w:rPr>
      </w:pPr>
    </w:p>
    <w:p w14:paraId="1A657829" w14:textId="0FE27756" w:rsidR="008401BA" w:rsidRPr="00760037" w:rsidRDefault="008401BA" w:rsidP="008401BA">
      <w:pPr>
        <w:spacing w:after="0" w:line="240" w:lineRule="auto"/>
        <w:rPr>
          <w:rFonts w:ascii="Noto Sans" w:hAnsi="Noto Sans"/>
          <w:b/>
          <w:bCs/>
          <w:color w:val="7D3787" w:themeColor="accent3"/>
          <w:sz w:val="20"/>
          <w:szCs w:val="20"/>
        </w:rPr>
      </w:pPr>
      <w:r w:rsidRPr="00760037">
        <w:rPr>
          <w:rFonts w:ascii="Noto Sans" w:hAnsi="Noto Sans"/>
          <w:b/>
          <w:bCs/>
          <w:color w:val="7D3787" w:themeColor="accent3"/>
          <w:sz w:val="20"/>
          <w:szCs w:val="20"/>
        </w:rPr>
        <w:t>Phase 2</w:t>
      </w:r>
      <w:r w:rsidR="00760037">
        <w:rPr>
          <w:rFonts w:ascii="Noto Sans" w:hAnsi="Noto Sans"/>
          <w:b/>
          <w:bCs/>
          <w:color w:val="7D3787" w:themeColor="accent3"/>
          <w:sz w:val="20"/>
          <w:szCs w:val="20"/>
        </w:rPr>
        <w:t xml:space="preserve"> – Data Analysis</w:t>
      </w:r>
    </w:p>
    <w:p w14:paraId="4742B62E" w14:textId="77777777" w:rsidR="00693225" w:rsidRDefault="00760037" w:rsidP="00760037">
      <w:pPr>
        <w:spacing w:after="0" w:line="240" w:lineRule="auto"/>
        <w:rPr>
          <w:rFonts w:ascii="Noto Sans" w:hAnsi="Noto Sans"/>
          <w:sz w:val="20"/>
          <w:szCs w:val="20"/>
        </w:rPr>
      </w:pPr>
      <w:r w:rsidRPr="00760037">
        <w:rPr>
          <w:rFonts w:ascii="Noto Sans" w:hAnsi="Noto Sans"/>
          <w:sz w:val="20"/>
          <w:szCs w:val="20"/>
        </w:rPr>
        <w:t xml:space="preserve">Provide a summary </w:t>
      </w:r>
      <w:r>
        <w:rPr>
          <w:rFonts w:ascii="Noto Sans" w:hAnsi="Noto Sans"/>
          <w:sz w:val="20"/>
          <w:szCs w:val="20"/>
        </w:rPr>
        <w:t xml:space="preserve">data </w:t>
      </w:r>
      <w:r w:rsidRPr="00760037">
        <w:rPr>
          <w:rFonts w:ascii="Noto Sans" w:hAnsi="Noto Sans"/>
          <w:sz w:val="20"/>
          <w:szCs w:val="20"/>
        </w:rPr>
        <w:t xml:space="preserve">analysis through Excel or a visualization tool such as PowerBI, Tableau, etc. </w:t>
      </w:r>
    </w:p>
    <w:p w14:paraId="5CA5A5E0" w14:textId="77777777" w:rsidR="00693225" w:rsidRDefault="00693225" w:rsidP="00760037">
      <w:pPr>
        <w:spacing w:after="0" w:line="240" w:lineRule="auto"/>
        <w:rPr>
          <w:rFonts w:ascii="Noto Sans" w:hAnsi="Noto Sans"/>
          <w:sz w:val="20"/>
          <w:szCs w:val="20"/>
        </w:rPr>
      </w:pPr>
    </w:p>
    <w:p w14:paraId="782FAAEE" w14:textId="77777777" w:rsidR="00693225" w:rsidRDefault="00760037" w:rsidP="00760037">
      <w:pPr>
        <w:spacing w:after="0" w:line="240" w:lineRule="auto"/>
        <w:rPr>
          <w:rFonts w:ascii="Noto Sans" w:hAnsi="Noto Sans"/>
          <w:sz w:val="20"/>
          <w:szCs w:val="20"/>
        </w:rPr>
      </w:pPr>
      <w:r>
        <w:rPr>
          <w:rFonts w:ascii="Noto Sans" w:hAnsi="Noto Sans"/>
          <w:sz w:val="20"/>
          <w:szCs w:val="20"/>
        </w:rPr>
        <w:t xml:space="preserve">Some of the </w:t>
      </w:r>
      <w:r w:rsidR="00693225">
        <w:rPr>
          <w:rFonts w:ascii="Noto Sans" w:hAnsi="Noto Sans"/>
          <w:sz w:val="20"/>
          <w:szCs w:val="20"/>
        </w:rPr>
        <w:t>trends</w:t>
      </w:r>
      <w:r>
        <w:rPr>
          <w:rFonts w:ascii="Noto Sans" w:hAnsi="Noto Sans"/>
          <w:sz w:val="20"/>
          <w:szCs w:val="20"/>
        </w:rPr>
        <w:t xml:space="preserve"> we would like to see captured are</w:t>
      </w:r>
      <w:r w:rsidR="00693225">
        <w:rPr>
          <w:rFonts w:ascii="Noto Sans" w:hAnsi="Noto Sans"/>
          <w:sz w:val="20"/>
          <w:szCs w:val="20"/>
        </w:rPr>
        <w:t>:</w:t>
      </w:r>
    </w:p>
    <w:p w14:paraId="4769EE5E" w14:textId="6D6E075D" w:rsidR="00693225" w:rsidRDefault="00693225" w:rsidP="00760037">
      <w:pPr>
        <w:pStyle w:val="ListParagraph"/>
        <w:numPr>
          <w:ilvl w:val="0"/>
          <w:numId w:val="3"/>
        </w:numPr>
        <w:spacing w:after="0" w:line="240" w:lineRule="auto"/>
        <w:rPr>
          <w:rFonts w:ascii="Noto Sans" w:hAnsi="Noto Sans"/>
          <w:sz w:val="20"/>
          <w:szCs w:val="20"/>
        </w:rPr>
      </w:pPr>
      <w:r w:rsidRPr="00693225">
        <w:rPr>
          <w:rFonts w:ascii="Noto Sans" w:hAnsi="Noto Sans"/>
          <w:sz w:val="20"/>
          <w:szCs w:val="20"/>
        </w:rPr>
        <w:lastRenderedPageBreak/>
        <w:t xml:space="preserve">The </w:t>
      </w:r>
      <w:r w:rsidR="009E7105">
        <w:rPr>
          <w:rFonts w:ascii="Noto Sans" w:hAnsi="Noto Sans"/>
          <w:sz w:val="20"/>
          <w:szCs w:val="20"/>
        </w:rPr>
        <w:t xml:space="preserve">calendar quarter </w:t>
      </w:r>
      <w:r w:rsidRPr="00693225">
        <w:rPr>
          <w:rFonts w:ascii="Noto Sans" w:hAnsi="Noto Sans"/>
          <w:sz w:val="20"/>
          <w:szCs w:val="20"/>
        </w:rPr>
        <w:t xml:space="preserve">growth in </w:t>
      </w:r>
      <w:r w:rsidRPr="00693225">
        <w:rPr>
          <w:rFonts w:ascii="Noto Sans" w:hAnsi="Noto Sans"/>
          <w:b/>
          <w:bCs/>
          <w:sz w:val="20"/>
          <w:szCs w:val="20"/>
        </w:rPr>
        <w:t>AUM</w:t>
      </w:r>
      <w:r w:rsidRPr="00693225">
        <w:rPr>
          <w:rFonts w:ascii="Noto Sans" w:hAnsi="Noto Sans"/>
          <w:sz w:val="20"/>
          <w:szCs w:val="20"/>
        </w:rPr>
        <w:t xml:space="preserve"> by</w:t>
      </w:r>
      <w:r>
        <w:rPr>
          <w:rFonts w:ascii="Noto Sans" w:hAnsi="Noto Sans"/>
          <w:sz w:val="20"/>
          <w:szCs w:val="20"/>
        </w:rPr>
        <w:t xml:space="preserve"> both </w:t>
      </w:r>
      <w:r w:rsidRPr="00693225">
        <w:rPr>
          <w:rFonts w:ascii="Noto Sans" w:hAnsi="Noto Sans"/>
          <w:i/>
          <w:iCs/>
          <w:sz w:val="20"/>
          <w:szCs w:val="20"/>
        </w:rPr>
        <w:t>Asset Class</w:t>
      </w:r>
      <w:r w:rsidRPr="00693225">
        <w:rPr>
          <w:rFonts w:ascii="Noto Sans" w:hAnsi="Noto Sans"/>
          <w:sz w:val="20"/>
          <w:szCs w:val="20"/>
        </w:rPr>
        <w:t xml:space="preserve"> and </w:t>
      </w:r>
      <w:r w:rsidRPr="00693225">
        <w:rPr>
          <w:rFonts w:ascii="Noto Sans" w:hAnsi="Noto Sans"/>
          <w:i/>
          <w:iCs/>
          <w:sz w:val="20"/>
          <w:szCs w:val="20"/>
        </w:rPr>
        <w:t>Client Group</w:t>
      </w:r>
      <w:r>
        <w:rPr>
          <w:rFonts w:ascii="Noto Sans" w:hAnsi="Noto Sans"/>
          <w:sz w:val="20"/>
          <w:szCs w:val="20"/>
        </w:rPr>
        <w:t>.</w:t>
      </w:r>
      <w:r w:rsidR="000C0662">
        <w:rPr>
          <w:rFonts w:ascii="Noto Sans" w:hAnsi="Noto Sans"/>
          <w:sz w:val="20"/>
          <w:szCs w:val="20"/>
        </w:rPr>
        <w:t xml:space="preserve"> Perhaps this can be filtered by </w:t>
      </w:r>
      <w:r w:rsidR="000C0662" w:rsidRPr="000C0662">
        <w:rPr>
          <w:rFonts w:ascii="Noto Sans" w:hAnsi="Noto Sans"/>
          <w:b/>
          <w:bCs/>
          <w:sz w:val="20"/>
          <w:szCs w:val="20"/>
        </w:rPr>
        <w:t>Client Country</w:t>
      </w:r>
      <w:r w:rsidR="000C0662">
        <w:rPr>
          <w:rFonts w:ascii="Noto Sans" w:hAnsi="Noto Sans"/>
          <w:sz w:val="20"/>
          <w:szCs w:val="20"/>
        </w:rPr>
        <w:t xml:space="preserve"> for the end-user.</w:t>
      </w:r>
    </w:p>
    <w:p w14:paraId="4E8A627D" w14:textId="20FE6778" w:rsidR="008401BA" w:rsidRDefault="00A03D9B" w:rsidP="00760037">
      <w:pPr>
        <w:pStyle w:val="ListParagraph"/>
        <w:numPr>
          <w:ilvl w:val="0"/>
          <w:numId w:val="3"/>
        </w:numPr>
        <w:spacing w:after="0" w:line="240" w:lineRule="auto"/>
        <w:rPr>
          <w:rFonts w:ascii="Noto Sans" w:hAnsi="Noto Sans"/>
          <w:sz w:val="20"/>
          <w:szCs w:val="20"/>
        </w:rPr>
      </w:pPr>
      <w:r>
        <w:rPr>
          <w:rFonts w:ascii="Noto Sans" w:hAnsi="Noto Sans"/>
          <w:sz w:val="20"/>
          <w:szCs w:val="20"/>
        </w:rPr>
        <w:t>Using a line chart, w</w:t>
      </w:r>
      <w:r w:rsidR="00693225" w:rsidRPr="00693225">
        <w:rPr>
          <w:rFonts w:ascii="Noto Sans" w:hAnsi="Noto Sans"/>
          <w:sz w:val="20"/>
          <w:szCs w:val="20"/>
        </w:rPr>
        <w:t xml:space="preserve">hat are the cumulative </w:t>
      </w:r>
      <w:r w:rsidR="00693225" w:rsidRPr="00693225">
        <w:rPr>
          <w:rFonts w:ascii="Noto Sans" w:hAnsi="Noto Sans"/>
          <w:b/>
          <w:bCs/>
          <w:sz w:val="20"/>
          <w:szCs w:val="20"/>
        </w:rPr>
        <w:t>NetFlows</w:t>
      </w:r>
      <w:r w:rsidR="00693225" w:rsidRPr="00693225">
        <w:rPr>
          <w:rFonts w:ascii="Noto Sans" w:hAnsi="Noto Sans"/>
          <w:sz w:val="20"/>
          <w:szCs w:val="20"/>
        </w:rPr>
        <w:t xml:space="preserve"> going into the different </w:t>
      </w:r>
      <w:r w:rsidR="009E7105" w:rsidRPr="009E7105">
        <w:rPr>
          <w:rFonts w:ascii="Noto Sans" w:hAnsi="Noto Sans"/>
          <w:i/>
          <w:iCs/>
          <w:sz w:val="20"/>
          <w:szCs w:val="20"/>
        </w:rPr>
        <w:t>Product Display Lens</w:t>
      </w:r>
      <w:r w:rsidR="009E7105">
        <w:rPr>
          <w:rFonts w:ascii="Noto Sans" w:hAnsi="Noto Sans"/>
          <w:sz w:val="20"/>
          <w:szCs w:val="20"/>
        </w:rPr>
        <w:t>. Provide a filter for: (1) Client Group; (2) Channel</w:t>
      </w:r>
      <w:r>
        <w:rPr>
          <w:rFonts w:ascii="Noto Sans" w:hAnsi="Noto Sans"/>
          <w:sz w:val="20"/>
          <w:szCs w:val="20"/>
        </w:rPr>
        <w:t>; and Fund Strategy.</w:t>
      </w:r>
    </w:p>
    <w:p w14:paraId="1211BE7B" w14:textId="77777777" w:rsidR="00862CBB" w:rsidRDefault="009E7105" w:rsidP="00862CBB">
      <w:pPr>
        <w:pStyle w:val="ListParagraph"/>
        <w:numPr>
          <w:ilvl w:val="0"/>
          <w:numId w:val="3"/>
        </w:numPr>
        <w:spacing w:after="0" w:line="240" w:lineRule="auto"/>
        <w:rPr>
          <w:rFonts w:ascii="Noto Sans" w:hAnsi="Noto Sans"/>
          <w:sz w:val="20"/>
          <w:szCs w:val="20"/>
        </w:rPr>
      </w:pPr>
      <w:r>
        <w:rPr>
          <w:rFonts w:ascii="Noto Sans" w:hAnsi="Noto Sans"/>
          <w:sz w:val="20"/>
          <w:szCs w:val="20"/>
        </w:rPr>
        <w:t xml:space="preserve">Create a heatmap table that can easily identify the Channel with the largest latest </w:t>
      </w:r>
      <w:r w:rsidRPr="009E7105">
        <w:rPr>
          <w:rFonts w:ascii="Noto Sans" w:hAnsi="Noto Sans"/>
          <w:b/>
          <w:bCs/>
          <w:sz w:val="20"/>
          <w:szCs w:val="20"/>
        </w:rPr>
        <w:t>AUM</w:t>
      </w:r>
      <w:r>
        <w:rPr>
          <w:rFonts w:ascii="Noto Sans" w:hAnsi="Noto Sans"/>
          <w:sz w:val="20"/>
          <w:szCs w:val="20"/>
        </w:rPr>
        <w:t xml:space="preserve"> (6/30/2023) by the </w:t>
      </w:r>
      <w:r w:rsidRPr="009E7105">
        <w:rPr>
          <w:rFonts w:ascii="Noto Sans" w:hAnsi="Noto Sans"/>
          <w:i/>
          <w:iCs/>
          <w:sz w:val="20"/>
          <w:szCs w:val="20"/>
        </w:rPr>
        <w:t>Product Display Lens</w:t>
      </w:r>
      <w:r>
        <w:rPr>
          <w:rFonts w:ascii="Noto Sans" w:hAnsi="Noto Sans"/>
          <w:sz w:val="20"/>
          <w:szCs w:val="20"/>
        </w:rPr>
        <w:t xml:space="preserve">. Add a filter for the </w:t>
      </w:r>
      <w:r w:rsidRPr="009E7105">
        <w:rPr>
          <w:rFonts w:ascii="Noto Sans" w:hAnsi="Noto Sans"/>
          <w:b/>
          <w:bCs/>
          <w:sz w:val="20"/>
          <w:szCs w:val="20"/>
        </w:rPr>
        <w:t>Fund Strategy</w:t>
      </w:r>
      <w:r w:rsidRPr="002A6559">
        <w:rPr>
          <w:rFonts w:ascii="Noto Sans" w:hAnsi="Noto Sans"/>
          <w:sz w:val="20"/>
          <w:szCs w:val="20"/>
        </w:rPr>
        <w:t>.</w:t>
      </w:r>
    </w:p>
    <w:p w14:paraId="4C420FE1" w14:textId="1EEA86D8" w:rsidR="00862CBB" w:rsidRPr="00862CBB" w:rsidRDefault="00862CBB" w:rsidP="00862CBB">
      <w:pPr>
        <w:pStyle w:val="ListParagraph"/>
        <w:numPr>
          <w:ilvl w:val="0"/>
          <w:numId w:val="3"/>
        </w:numPr>
        <w:spacing w:after="0" w:line="240" w:lineRule="auto"/>
        <w:rPr>
          <w:rFonts w:ascii="Noto Sans" w:hAnsi="Noto Sans"/>
          <w:sz w:val="20"/>
          <w:szCs w:val="20"/>
        </w:rPr>
      </w:pPr>
      <w:r w:rsidRPr="00862CBB">
        <w:rPr>
          <w:rFonts w:ascii="Noto Sans" w:eastAsia="Times New Roman" w:hAnsi="Noto Sans"/>
          <w:sz w:val="20"/>
          <w:szCs w:val="20"/>
        </w:rPr>
        <w:t>If you considered any other relevant data summaries please provide those</w:t>
      </w:r>
    </w:p>
    <w:p w14:paraId="3F056A1D" w14:textId="77777777" w:rsidR="002A6559" w:rsidRPr="00693225" w:rsidRDefault="002A6559" w:rsidP="002A6559">
      <w:pPr>
        <w:pStyle w:val="ListParagraph"/>
        <w:spacing w:after="0" w:line="240" w:lineRule="auto"/>
        <w:rPr>
          <w:rFonts w:ascii="Noto Sans" w:hAnsi="Noto Sans"/>
          <w:sz w:val="20"/>
          <w:szCs w:val="20"/>
        </w:rPr>
      </w:pPr>
    </w:p>
    <w:bookmarkEnd w:id="0"/>
    <w:p w14:paraId="63E7A871" w14:textId="7E08DEC1" w:rsidR="008401BA" w:rsidRPr="00760037" w:rsidRDefault="008401BA" w:rsidP="00760037">
      <w:pPr>
        <w:spacing w:after="0" w:line="240" w:lineRule="auto"/>
        <w:rPr>
          <w:rFonts w:ascii="Noto Sans" w:hAnsi="Noto Sans"/>
          <w:sz w:val="20"/>
          <w:szCs w:val="20"/>
        </w:rPr>
      </w:pPr>
    </w:p>
    <w:sectPr w:rsidR="008401BA" w:rsidRPr="00760037" w:rsidSect="0072422C">
      <w:pgSz w:w="12240" w:h="15840"/>
      <w:pgMar w:top="144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7B83"/>
    <w:multiLevelType w:val="hybridMultilevel"/>
    <w:tmpl w:val="A672C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D7A15"/>
    <w:multiLevelType w:val="hybridMultilevel"/>
    <w:tmpl w:val="B5DA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86640"/>
    <w:multiLevelType w:val="hybridMultilevel"/>
    <w:tmpl w:val="DA847696"/>
    <w:lvl w:ilvl="0" w:tplc="5896DF5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189000">
    <w:abstractNumId w:val="2"/>
  </w:num>
  <w:num w:numId="2" w16cid:durableId="2121416950">
    <w:abstractNumId w:val="0"/>
  </w:num>
  <w:num w:numId="3" w16cid:durableId="1869760036">
    <w:abstractNumId w:val="1"/>
  </w:num>
  <w:num w:numId="4" w16cid:durableId="1423528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2C"/>
    <w:rsid w:val="00064046"/>
    <w:rsid w:val="000C0662"/>
    <w:rsid w:val="002A6559"/>
    <w:rsid w:val="0035560A"/>
    <w:rsid w:val="00693225"/>
    <w:rsid w:val="0072422C"/>
    <w:rsid w:val="00760037"/>
    <w:rsid w:val="008401BA"/>
    <w:rsid w:val="00862CBB"/>
    <w:rsid w:val="00892BC6"/>
    <w:rsid w:val="009E7105"/>
    <w:rsid w:val="00A03D9B"/>
    <w:rsid w:val="00F0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2123"/>
  <w15:chartTrackingRefBased/>
  <w15:docId w15:val="{89D41D2D-BB80-488F-A4CC-FAF21191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1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chroders Basic Mid Re-order">
      <a:dk1>
        <a:srgbClr val="000000"/>
      </a:dk1>
      <a:lt1>
        <a:sysClr val="window" lastClr="FFFFFF"/>
      </a:lt1>
      <a:dk2>
        <a:srgbClr val="002A5E"/>
      </a:dk2>
      <a:lt2>
        <a:srgbClr val="0074B7"/>
      </a:lt2>
      <a:accent1>
        <a:srgbClr val="002A5E"/>
      </a:accent1>
      <a:accent2>
        <a:srgbClr val="63C532"/>
      </a:accent2>
      <a:accent3>
        <a:srgbClr val="7D3787"/>
      </a:accent3>
      <a:accent4>
        <a:srgbClr val="F8A908"/>
      </a:accent4>
      <a:accent5>
        <a:srgbClr val="DF536A"/>
      </a:accent5>
      <a:accent6>
        <a:srgbClr val="14E6F0"/>
      </a:accent6>
      <a:hlink>
        <a:srgbClr val="0074B7"/>
      </a:hlink>
      <a:folHlink>
        <a:srgbClr val="14E6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Dutka, Kevin</dc:creator>
  <cp:keywords/>
  <dc:description/>
  <cp:lastModifiedBy>Wetmore, Vincent</cp:lastModifiedBy>
  <cp:revision>3</cp:revision>
  <dcterms:created xsi:type="dcterms:W3CDTF">2023-10-12T17:41:00Z</dcterms:created>
  <dcterms:modified xsi:type="dcterms:W3CDTF">2023-10-20T16:20:00Z</dcterms:modified>
</cp:coreProperties>
</file>