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4"/>
        <w:gridCol w:w="5102"/>
        <w:gridCol w:w="1134"/>
        <w:gridCol w:w="1134"/>
        <w:gridCol w:w="1134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Cluster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Key Terms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Size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Centrality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Density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sleep, eeg, skin potential, galvanic skin, eye movement, level, skin resistance, recording, pattern, normal, arousal, alpha, latency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2014 (1)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D62728"/>
              </w:rPr>
              <w:t xml:space="preserve">1805 (1)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heart rate, cardiac, scr, stimulus, detection, method, period, rat, rate, technique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1942 (2)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2CA02C"/>
              </w:rPr>
              <w:t xml:space="preserve">1692 (5)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time, human, function, skin conductance, performance, varies, interval, potential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1478 (4)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F77B4"/>
              </w:rPr>
              <w:t xml:space="preserve">1700 (4)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child, differential, auditory, evoked, signal, visual, cortex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1468 (5)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BCBD22"/>
              </w:rPr>
              <w:t xml:space="preserve">1715 (3)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conditioning, autonomic, orienting, habituation, cognition, behavior, component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1573 (3)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9467BD"/>
              </w:rPr>
              <w:t xml:space="preserve">1441 (6)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electrodermal, feedback, control, sensory, spontaneous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1073 (6)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17BECF"/>
              </w:rPr>
              <w:t xml:space="preserve">1733 (2)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2024-10-04T00:44:42Z</dcterms:modified>
  <cp:category/>
</cp:coreProperties>
</file>