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emotion, perception, adult, affect, stress, cardiovascular, brain, startle, performance, threat, adolescent, depression, increase, child, reduce, impact, fear, cardiac, heart rate variability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2676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2185 (1)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erp, attention, eeg, memory, visual, auditory, p300, human, mechanism, scene, detection, component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1984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1738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neural, learning, time, error, reward,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1296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1731 (3)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electrophysiological, behavior, control, inhibition,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1177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1091 (6)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cognition, dynamic, cortex, temporal, 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1131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1716 (4)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context, social, cue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732 (6)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1615 (5)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2024-10-04T00:46:44Z</dcterms:modified>
  <cp:category/>
</cp:coreProperties>
</file>