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before="200" w:after="200"/>
        <w:ind w:hanging="0" w:start="-360" w:end="-360"/>
        <w:rPr>
          <w:rFonts w:ascii="Google Sans" w:hAnsi="Google Sans" w:eastAsia="Google Sans" w:cs="Google Sans"/>
          <w:b/>
          <w:color w:val="3C4043"/>
          <w:sz w:val="40"/>
          <w:szCs w:val="40"/>
        </w:rPr>
      </w:pPr>
      <w:r>
        <w:rPr>
          <w:rFonts w:eastAsia="Google Sans" w:cs="Google Sans" w:ascii="Google Sans" w:hAnsi="Google Sans"/>
          <w:b/>
          <w:color w:val="3C4043"/>
          <w:sz w:val="40"/>
          <w:szCs w:val="40"/>
        </w:rPr>
        <w:t>Incident report analysis</w:t>
      </w:r>
    </w:p>
    <w:p>
      <w:pPr>
        <w:pStyle w:val="normal1"/>
        <w:spacing w:lineRule="auto" w:line="360" w:before="0" w:after="200"/>
        <w:ind w:hanging="0" w:start="-360" w:end="-360"/>
        <w:rPr>
          <w:rFonts w:ascii="Google Sans" w:hAnsi="Google Sans" w:eastAsia="Google Sans" w:cs="Google Sans"/>
          <w:sz w:val="24"/>
          <w:szCs w:val="24"/>
        </w:rPr>
      </w:pPr>
      <w:r>
        <w:rPr>
          <w:rFonts w:eastAsia="Google Sans" w:cs="Google Sans" w:ascii="Google Sans" w:hAnsi="Google Sans"/>
          <w:b/>
          <w:color w:val="34A853"/>
          <w:sz w:val="24"/>
          <w:szCs w:val="24"/>
        </w:rPr>
        <w:t>Instructions</w:t>
      </w:r>
    </w:p>
    <w:p>
      <w:pPr>
        <w:pStyle w:val="normal1"/>
        <w:spacing w:lineRule="auto" w:line="360" w:before="0" w:after="200"/>
        <w:ind w:hanging="0" w:start="-360" w:end="-360"/>
        <w:rPr>
          <w:rFonts w:ascii="Google Sans" w:hAnsi="Google Sans" w:eastAsia="Google Sans" w:cs="Google Sans"/>
          <w:sz w:val="24"/>
          <w:szCs w:val="24"/>
        </w:rPr>
      </w:pPr>
      <w:r>
        <w:rPr>
          <w:rFonts w:eastAsia="Google Sans" w:cs="Google Sans" w:ascii="Google Sans" w:hAnsi="Google Sans"/>
          <w:sz w:val="24"/>
          <w:szCs w:val="24"/>
        </w:rPr>
        <w:t>As you continue through this course, you may use this template to record your findings after completing an activity or to take notes on what you've learned about a specific tool or concept. You can also use this chart as a way to practice applying the NIST framework to different situations you encounter.</w:t>
      </w:r>
    </w:p>
    <w:tbl>
      <w:tblPr>
        <w:tblStyle w:val="Table1"/>
        <w:tblW w:w="10080" w:type="dxa"/>
        <w:jc w:val="start"/>
        <w:tblInd w:w="-360" w:type="dxa"/>
        <w:tblLayout w:type="fixed"/>
        <w:tblCellMar>
          <w:top w:w="100" w:type="dxa"/>
          <w:start w:w="100" w:type="dxa"/>
          <w:bottom w:w="100" w:type="dxa"/>
          <w:end w:w="100" w:type="dxa"/>
        </w:tblCellMar>
        <w:tblLook w:val="0600"/>
      </w:tblPr>
      <w:tblGrid>
        <w:gridCol w:w="2055"/>
        <w:gridCol w:w="8025"/>
      </w:tblGrid>
      <w:tr>
        <w:trPr>
          <w:trHeight w:val="420" w:hRule="atLeast"/>
        </w:trPr>
        <w:tc>
          <w:tcPr>
            <w:tcW w:w="205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rPr>
            </w:pPr>
            <w:r>
              <w:rPr>
                <w:rFonts w:eastAsia="Google Sans" w:cs="Google Sans" w:ascii="Google Sans" w:hAnsi="Google Sans"/>
                <w:b/>
              </w:rPr>
              <w:t>Summary</w:t>
            </w:r>
          </w:p>
        </w:tc>
        <w:tc>
          <w:tcPr>
            <w:tcW w:w="802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rPr>
            </w:pPr>
            <w:r>
              <w:rPr>
                <w:rFonts w:eastAsia="Google Sans" w:cs="Google Sans" w:ascii="Google Sans" w:hAnsi="Google Sans"/>
              </w:rPr>
              <w:t>An intern had received an email that required them to click and external link and provide their network credentials. This was a phishing email which allowed a malicious actor to gain access to the internal network via stolen credentials.</w:t>
            </w:r>
          </w:p>
        </w:tc>
      </w:tr>
      <w:tr>
        <w:trPr>
          <w:trHeight w:val="420" w:hRule="atLeast"/>
        </w:trPr>
        <w:tc>
          <w:tcPr>
            <w:tcW w:w="205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rPr>
            </w:pPr>
            <w:r>
              <w:rPr>
                <w:rFonts w:eastAsia="Google Sans" w:cs="Google Sans" w:ascii="Google Sans" w:hAnsi="Google Sans"/>
              </w:rPr>
              <w:t>Identify</w:t>
            </w:r>
          </w:p>
        </w:tc>
        <w:tc>
          <w:tcPr>
            <w:tcW w:w="802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rPr>
            </w:pPr>
            <w:r>
              <w:rPr>
                <w:rFonts w:eastAsia="Google Sans" w:cs="Google Sans" w:ascii="Google Sans" w:hAnsi="Google Sans"/>
              </w:rPr>
              <w:t xml:space="preserve">After escalated to the IT department, they IT department noticed that even tho she claimed that she could not access her account, her account was activly being used to access the customer database. Other users had also reported that customer data is missing. The IT department conducted an audit to identify which devices and </w:t>
            </w:r>
            <w:r>
              <w:rPr>
                <w:rFonts w:eastAsia="Google Sans" w:cs="Google Sans" w:ascii="Google Sans" w:hAnsi="Google Sans"/>
              </w:rPr>
              <w:t xml:space="preserve">if any other </w:t>
            </w:r>
            <w:r>
              <w:rPr>
                <w:rFonts w:eastAsia="Google Sans" w:cs="Google Sans" w:ascii="Google Sans" w:hAnsi="Google Sans"/>
              </w:rPr>
              <w:t>databases where effected.</w:t>
            </w:r>
          </w:p>
        </w:tc>
      </w:tr>
      <w:tr>
        <w:trPr>
          <w:trHeight w:val="420" w:hRule="atLeast"/>
        </w:trPr>
        <w:tc>
          <w:tcPr>
            <w:tcW w:w="205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rPr>
            </w:pPr>
            <w:r>
              <w:rPr>
                <w:rFonts w:eastAsia="Google Sans" w:cs="Google Sans" w:ascii="Google Sans" w:hAnsi="Google Sans"/>
              </w:rPr>
              <w:t>Protect</w:t>
            </w:r>
          </w:p>
        </w:tc>
        <w:tc>
          <w:tcPr>
            <w:tcW w:w="802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b w:val="false"/>
                <w:bCs w:val="false"/>
              </w:rPr>
            </w:pPr>
            <w:r>
              <w:rPr>
                <w:rFonts w:eastAsia="Google Sans" w:cs="Google Sans" w:ascii="Google Sans" w:hAnsi="Google Sans"/>
                <w:b w:val="false"/>
                <w:bCs w:val="false"/>
              </w:rPr>
              <w:t>The IT department enabled a MFA process to ensure a more secure and verified log in method for the future.</w:t>
            </w:r>
          </w:p>
        </w:tc>
      </w:tr>
      <w:tr>
        <w:trPr>
          <w:trHeight w:val="630" w:hRule="atLeast"/>
        </w:trPr>
        <w:tc>
          <w:tcPr>
            <w:tcW w:w="205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rPr>
            </w:pPr>
            <w:r>
              <w:rPr>
                <w:rFonts w:eastAsia="Google Sans" w:cs="Google Sans" w:ascii="Google Sans" w:hAnsi="Google Sans"/>
              </w:rPr>
              <w:t>Detect</w:t>
            </w:r>
          </w:p>
        </w:tc>
        <w:tc>
          <w:tcPr>
            <w:tcW w:w="802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ind w:hanging="0" w:start="0"/>
              <w:rPr>
                <w:rFonts w:ascii="Google Sans" w:hAnsi="Google Sans" w:eastAsia="Google Sans" w:cs="Google Sans"/>
              </w:rPr>
            </w:pPr>
            <w:r>
              <w:rPr>
                <w:rFonts w:eastAsia="Google Sans" w:cs="Google Sans" w:ascii="Google Sans" w:hAnsi="Google Sans"/>
              </w:rPr>
              <w:t>The IT department have now utilized stricter firewall rules and have installed IPS/IDS software to better help against future unauthorized attacks.</w:t>
            </w:r>
          </w:p>
        </w:tc>
      </w:tr>
      <w:tr>
        <w:trPr>
          <w:trHeight w:val="420" w:hRule="atLeast"/>
        </w:trPr>
        <w:tc>
          <w:tcPr>
            <w:tcW w:w="205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rPr>
            </w:pPr>
            <w:r>
              <w:rPr>
                <w:rFonts w:eastAsia="Google Sans" w:cs="Google Sans" w:ascii="Google Sans" w:hAnsi="Google Sans"/>
              </w:rPr>
              <w:t>Respond</w:t>
            </w:r>
          </w:p>
        </w:tc>
        <w:tc>
          <w:tcPr>
            <w:tcW w:w="802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rPr>
            </w:pPr>
            <w:r>
              <w:rPr>
                <w:rFonts w:eastAsia="Google Sans" w:cs="Google Sans" w:ascii="Google Sans" w:hAnsi="Google Sans"/>
              </w:rPr>
              <w:t>The IT department deactivated the interns network access, They also trained staff on methods to prevent future phishing attempts. They have also informed customers of the breach of their network and have contacted law enforcement and local agencies about the incident.</w:t>
            </w:r>
          </w:p>
        </w:tc>
      </w:tr>
      <w:tr>
        <w:trPr>
          <w:trHeight w:val="420" w:hRule="atLeast"/>
        </w:trPr>
        <w:tc>
          <w:tcPr>
            <w:tcW w:w="205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rPr>
            </w:pPr>
            <w:r>
              <w:rPr>
                <w:rFonts w:eastAsia="Google Sans" w:cs="Google Sans" w:ascii="Google Sans" w:hAnsi="Google Sans"/>
              </w:rPr>
              <w:t>Recover</w:t>
            </w:r>
          </w:p>
        </w:tc>
        <w:tc>
          <w:tcPr>
            <w:tcW w:w="802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rPr>
            </w:pPr>
            <w:r>
              <w:rPr>
                <w:rFonts w:eastAsia="Google Sans" w:cs="Google Sans" w:ascii="Google Sans" w:hAnsi="Google Sans"/>
              </w:rPr>
              <w:t>The IT department restored the customer database from the previous nights full saved backup but due to data missing from this morning before a new backup was sheduled to be made all employees where instructed to manually re-enter those updates from this morning.</w:t>
            </w:r>
          </w:p>
        </w:tc>
      </w:tr>
    </w:tbl>
    <w:p>
      <w:pPr>
        <w:pStyle w:val="normal1"/>
        <w:spacing w:lineRule="auto" w:line="360" w:before="0" w:after="200"/>
        <w:ind w:hanging="0" w:start="-360" w:end="-360"/>
        <w:rPr>
          <w:rFonts w:ascii="Google Sans" w:hAnsi="Google Sans" w:eastAsia="Google Sans" w:cs="Google Sans"/>
        </w:rPr>
      </w:pPr>
      <w:r>
        <w:rPr>
          <w:rFonts w:eastAsia="Google Sans" w:cs="Google Sans" w:ascii="Google Sans" w:hAnsi="Google Sans"/>
        </w:rPr>
      </w:r>
    </w:p>
    <w:p>
      <w:pPr>
        <w:pStyle w:val="normal1"/>
        <w:spacing w:lineRule="auto" w:line="360" w:before="0" w:after="200"/>
        <w:ind w:hanging="0" w:start="-360" w:end="-360"/>
        <w:rPr>
          <w:rFonts w:ascii="Google Sans" w:hAnsi="Google Sans" w:eastAsia="Google Sans" w:cs="Google Sans"/>
        </w:rPr>
      </w:pPr>
      <w:r>
        <w:rPr/>
        <mc:AlternateContent>
          <mc:Choice Requires="wps">
            <w:drawing>
              <wp:inline distT="0" distB="0" distL="0" distR="0">
                <wp:extent cx="5943600" cy="19050"/>
                <wp:effectExtent l="0" t="0" r="0" b="12700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t" style="width:467.95pt;height:1.45pt;mso-wrap-style:none;v-text-anchor:middle">
                <v:fill o:detectmouseclick="t" type="solid" color2="#5f5f5f"/>
                <v:stroke color="#3465a4" joinstyle="round" endcap="flat"/>
              </v:rect>
            </w:pict>
          </mc:Fallback>
        </mc:AlternateContent>
      </w:r>
    </w:p>
    <w:p>
      <w:pPr>
        <w:pStyle w:val="normal1"/>
        <w:spacing w:lineRule="auto" w:line="360"/>
        <w:ind w:hanging="0" w:start="-360" w:end="-360"/>
        <w:rPr>
          <w:rFonts w:ascii="Google Sans" w:hAnsi="Google Sans" w:eastAsia="Google Sans" w:cs="Google Sans"/>
        </w:rPr>
      </w:pPr>
      <w:r>
        <w:rPr>
          <w:rFonts w:eastAsia="Google Sans" w:cs="Google Sans" w:ascii="Google Sans" w:hAnsi="Google Sans"/>
        </w:rPr>
      </w:r>
    </w:p>
    <w:tbl>
      <w:tblPr>
        <w:tblStyle w:val="Table2"/>
        <w:tblW w:w="10080" w:type="dxa"/>
        <w:jc w:val="start"/>
        <w:tblInd w:w="-360" w:type="dxa"/>
        <w:tblLayout w:type="fixed"/>
        <w:tblCellMar>
          <w:top w:w="100" w:type="dxa"/>
          <w:start w:w="100" w:type="dxa"/>
          <w:bottom w:w="100" w:type="dxa"/>
          <w:end w:w="100" w:type="dxa"/>
        </w:tblCellMar>
        <w:tblLook w:val="0600"/>
      </w:tblPr>
      <w:tblGrid>
        <w:gridCol w:w="10080"/>
      </w:tblGrid>
      <w:tr>
        <w:trPr/>
        <w:tc>
          <w:tcPr>
            <w:tcW w:w="1008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Google Sans" w:hAnsi="Google Sans" w:eastAsia="Google Sans" w:cs="Google Sans"/>
              </w:rPr>
            </w:pPr>
            <w:r>
              <w:rPr>
                <w:rFonts w:eastAsia="Google Sans" w:cs="Google Sans" w:ascii="Google Sans" w:hAnsi="Google Sans"/>
              </w:rPr>
              <w:t>Reflections/Notes:</w:t>
            </w:r>
          </w:p>
        </w:tc>
      </w:tr>
    </w:tbl>
    <w:p>
      <w:pPr>
        <w:pStyle w:val="normal1"/>
        <w:spacing w:lineRule="auto" w:line="360"/>
        <w:ind w:hanging="0" w:start="-360" w:end="-360"/>
        <w:rPr>
          <w:rFonts w:ascii="Google Sans" w:hAnsi="Google Sans" w:eastAsia="Google Sans" w:cs="Google Sans"/>
        </w:rPr>
      </w:pPr>
      <w:r>
        <w:rPr>
          <w:rFonts w:eastAsia="Google Sans" w:cs="Google Sans" w:ascii="Google Sans" w:hAnsi="Google Sans"/>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Google San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drawing>
        <wp:inline distT="0" distB="0" distL="0" distR="0">
          <wp:extent cx="1096645" cy="81407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1"/>
                  <a:srcRect l="13947" t="28613" r="18911" b="26279"/>
                  <a:stretch>
                    <a:fillRect/>
                  </a:stretch>
                </pic:blipFill>
                <pic:spPr bwMode="auto">
                  <a:xfrm>
                    <a:off x="0" y="0"/>
                    <a:ext cx="1096645" cy="814070"/>
                  </a:xfrm>
                  <a:prstGeom prst="rect">
                    <a:avLst/>
                  </a:prstGeom>
                  <a:noFill/>
                </pic:spPr>
              </pic:pic>
            </a:graphicData>
          </a:graphic>
        </wp:inline>
      </w:drawing>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pPr>
      <w:keepNext w:val="true"/>
      <w:keepLines/>
      <w:pageBreakBefore w:val="false"/>
      <w:spacing w:lineRule="auto" w:line="240" w:before="400" w:after="120"/>
    </w:pPr>
    <w:rPr>
      <w:sz w:val="40"/>
      <w:szCs w:val="40"/>
    </w:rPr>
  </w:style>
  <w:style w:type="paragraph" w:styleId="Heading2">
    <w:name w:val="heading 2"/>
    <w:basedOn w:val="normal1"/>
    <w:next w:val="normal1"/>
    <w:pPr>
      <w:keepNext w:val="true"/>
      <w:keepLines/>
      <w:pageBreakBefore w:val="false"/>
      <w:spacing w:lineRule="auto" w:line="240" w:before="360" w:after="120"/>
    </w:pPr>
    <w:rPr>
      <w:b w:val="false"/>
      <w:sz w:val="32"/>
      <w:szCs w:val="32"/>
    </w:rPr>
  </w:style>
  <w:style w:type="paragraph" w:styleId="Heading3">
    <w:name w:val="heading 3"/>
    <w:basedOn w:val="normal1"/>
    <w:next w:val="normal1"/>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pPr>
      <w:keepNext w:val="true"/>
      <w:keepLines/>
      <w:pageBreakBefore w:val="false"/>
      <w:spacing w:lineRule="auto" w:line="240" w:before="280" w:after="80"/>
    </w:pPr>
    <w:rPr>
      <w:color w:val="666666"/>
      <w:sz w:val="24"/>
      <w:szCs w:val="24"/>
    </w:rPr>
  </w:style>
  <w:style w:type="paragraph" w:styleId="Heading5">
    <w:name w:val="heading 5"/>
    <w:basedOn w:val="normal1"/>
    <w:next w:val="normal1"/>
    <w:pPr>
      <w:keepNext w:val="true"/>
      <w:keepLines/>
      <w:pageBreakBefore w:val="false"/>
      <w:spacing w:lineRule="auto" w:line="240" w:before="240" w:after="80"/>
    </w:pPr>
    <w:rPr>
      <w:color w:val="666666"/>
      <w:sz w:val="22"/>
      <w:szCs w:val="22"/>
    </w:rPr>
  </w:style>
  <w:style w:type="paragraph" w:styleId="Heading6">
    <w:name w:val="heading 6"/>
    <w:basedOn w:val="normal1"/>
    <w:next w:val="normal1"/>
    <w:pPr>
      <w:keepNext w:val="true"/>
      <w:keepLines/>
      <w:pageBreakBefore w:val="false"/>
      <w:spacing w:lineRule="auto" w:line="240" w:before="240" w:after="80"/>
    </w:pPr>
    <w:rPr>
      <w:i/>
      <w:color w:val="666666"/>
      <w:sz w:val="22"/>
      <w:szCs w:val="22"/>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normal1" w:default="1">
    <w:name w:val="normal1"/>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pPr>
      <w:keepNext w:val="true"/>
      <w:keepLines/>
      <w:pageBreakBefore w:val="false"/>
      <w:spacing w:lineRule="auto" w:line="240" w:before="0" w:after="60"/>
    </w:pPr>
    <w:rPr>
      <w:sz w:val="52"/>
      <w:szCs w:val="52"/>
    </w:rPr>
  </w:style>
  <w:style w:type="paragraph" w:styleId="Subtitle">
    <w:name w:val="Subtitle"/>
    <w:basedOn w:val="normal1"/>
    <w:next w:val="normal1"/>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LibreOffice/26.8.1.1$Windows_X86_64 LibreOffice_project/bf6ef2662401c7d6dce671ab4deb26ee0af3a7c1</Application>
  <AppVersion>15.0000</AppVersion>
  <Pages>2</Pages>
  <Words>288</Words>
  <Characters>1513</Characters>
  <CharactersWithSpaces>1785</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en-IE</dc:language>
  <cp:lastModifiedBy/>
  <dcterms:modified xsi:type="dcterms:W3CDTF">2026-10-28T12:59:36Z</dcterms:modified>
  <cp:revision>1</cp:revision>
  <dc:subject/>
  <dc:title/>
</cp:coreProperties>
</file>