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xml:space="preserve">, </w:t>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First, create a file </w:t>
      </w:r>
      <w:r>
        <w:rPr>
          <w:rStyle w:val="15"/>
          <w:shd w:val="clear" w:fill="E7E6E6" w:themeFill="background2"/>
        </w:rPr>
        <w:t>/etc/apt/sources.list.d/nginx.list</w:t>
      </w:r>
      <w:r>
        <w:rPr>
          <w:rFonts w:hint="default"/>
          <w:lang w:val="en-US"/>
        </w:rPr>
        <w:t xml:space="preserve"> with the following content:</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lang w:val="en-US"/>
              </w:rPr>
            </w:pPr>
            <w:r>
              <w:rPr>
                <w:rFonts w:hint="default"/>
                <w:lang w:val="en-US"/>
              </w:rPr>
              <w:t>deb https://nginx.org/packages/ubuntu/ focal nginx</w:t>
            </w:r>
          </w:p>
          <w:p>
            <w:pPr>
              <w:pStyle w:val="14"/>
              <w:widowControl w:val="0"/>
              <w:bidi w:val="0"/>
              <w:jc w:val="both"/>
              <w:rPr>
                <w:rFonts w:hint="default"/>
                <w:lang w:val="en-US"/>
              </w:rPr>
            </w:pPr>
            <w:r>
              <w:rPr>
                <w:rFonts w:hint="default"/>
                <w:lang w:val="en-US"/>
              </w:rPr>
              <w:t>deb-src https://nginx.org/packages/ubuntu/ focal nginx</w:t>
            </w:r>
          </w:p>
        </w:tc>
      </w:tr>
    </w:tbl>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fuser -k 80/tcp</w:t>
            </w:r>
          </w:p>
          <w:p>
            <w:pPr>
              <w:pStyle w:val="14"/>
              <w:widowControl w:val="0"/>
              <w:bidi w:val="0"/>
              <w:jc w:val="both"/>
              <w:rPr>
                <w:rFonts w:hint="default"/>
                <w:lang w:val="en-US"/>
              </w:rPr>
            </w:pPr>
            <w:r>
              <w:rPr>
                <w:rFonts w:hint="default"/>
                <w:lang w:val="en-US"/>
              </w:rPr>
              <w:t>sudo fuser 443/tcp</w:t>
            </w:r>
          </w:p>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pStyle w:val="3"/>
        <w:numPr>
          <w:ilvl w:val="1"/>
          <w:numId w:val="1"/>
        </w:numPr>
        <w:bidi w:val="0"/>
        <w:ind w:left="200" w:leftChars="0" w:firstLine="0" w:firstLineChars="0"/>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pStyle w:val="3"/>
        <w:numPr>
          <w:ilvl w:val="1"/>
          <w:numId w:val="1"/>
        </w:numPr>
        <w:bidi w:val="0"/>
        <w:ind w:left="200" w:leftChars="0" w:firstLine="0" w:firstLineChars="0"/>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bookmarkStart w:id="0" w:name="_GoBack"/>
      <w:bookmarkEnd w:id="0"/>
      <w:r>
        <w:rPr>
          <w:rFonts w:hint="default"/>
          <w:lang w:val="en-US"/>
        </w:rPr>
        <w:t>Introduction</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pStyle w:val="3"/>
        <w:numPr>
          <w:ilvl w:val="1"/>
          <w:numId w:val="1"/>
        </w:numPr>
        <w:bidi w:val="0"/>
        <w:ind w:left="200" w:leftChars="0" w:firstLine="0" w:firstLineChars="0"/>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pStyle w:val="3"/>
        <w:numPr>
          <w:ilvl w:val="2"/>
          <w:numId w:val="1"/>
        </w:numPr>
        <w:bidi w:val="0"/>
        <w:ind w:left="400" w:leftChars="0" w:firstLine="0" w:firstLineChars="0"/>
        <w:jc w:val="both"/>
        <w:rPr>
          <w:rFonts w:hint="default"/>
          <w:lang w:val="en-US"/>
        </w:rPr>
      </w:pPr>
      <w:r>
        <w:rPr>
          <w:rFonts w:hint="default"/>
          <w:lang w:val="en-US"/>
        </w:rPr>
        <w:t>Installation</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AA0400"/>
    <w:rsid w:val="2F134BFA"/>
    <w:rsid w:val="303013F6"/>
    <w:rsid w:val="33F94AA7"/>
    <w:rsid w:val="34556F85"/>
    <w:rsid w:val="346D1C2F"/>
    <w:rsid w:val="348027A4"/>
    <w:rsid w:val="34E1432C"/>
    <w:rsid w:val="363D7C2F"/>
    <w:rsid w:val="3661776A"/>
    <w:rsid w:val="369E107C"/>
    <w:rsid w:val="38790B6B"/>
    <w:rsid w:val="3AA4582B"/>
    <w:rsid w:val="3C4F721E"/>
    <w:rsid w:val="3E20749D"/>
    <w:rsid w:val="40383F99"/>
    <w:rsid w:val="48951A0F"/>
    <w:rsid w:val="4D8B6AB8"/>
    <w:rsid w:val="4EB85379"/>
    <w:rsid w:val="57836AEC"/>
    <w:rsid w:val="5A73188F"/>
    <w:rsid w:val="654C1875"/>
    <w:rsid w:val="65AE13DD"/>
    <w:rsid w:val="686377B9"/>
    <w:rsid w:val="69250F99"/>
    <w:rsid w:val="6A494755"/>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2021-09-21T11:02:13Z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