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7C8D" w:rsidRPr="000F7C8D" w:rsidRDefault="000F7C8D" w:rsidP="000F7C8D">
      <w:pPr>
        <w:spacing w:after="300" w:line="462" w:lineRule="atLeast"/>
        <w:outlineLvl w:val="0"/>
        <w:rPr>
          <w:rFonts w:ascii="&amp;quot" w:eastAsia="Times New Roman" w:hAnsi="&amp;quot" w:cs="Times New Roman"/>
          <w:b/>
          <w:bCs/>
          <w:color w:val="333333"/>
          <w:kern w:val="36"/>
          <w:sz w:val="42"/>
          <w:szCs w:val="42"/>
        </w:rPr>
      </w:pPr>
      <w:bookmarkStart w:id="0" w:name="_GoBack"/>
      <w:r w:rsidRPr="000F7C8D">
        <w:rPr>
          <w:rFonts w:ascii="&amp;quot" w:eastAsia="Times New Roman" w:hAnsi="&amp;quot" w:cs="Times New Roman"/>
          <w:b/>
          <w:bCs/>
          <w:color w:val="333333"/>
          <w:kern w:val="36"/>
          <w:sz w:val="42"/>
          <w:szCs w:val="42"/>
        </w:rPr>
        <w:t xml:space="preserve">Memorial Day: Hopeful Memory (Joshua 4:1-9; 1 </w:t>
      </w:r>
      <w:bookmarkEnd w:id="0"/>
      <w:r w:rsidRPr="000F7C8D">
        <w:rPr>
          <w:rFonts w:ascii="&amp;quot" w:eastAsia="Times New Roman" w:hAnsi="&amp;quot" w:cs="Times New Roman"/>
          <w:b/>
          <w:bCs/>
          <w:color w:val="333333"/>
          <w:kern w:val="36"/>
          <w:sz w:val="42"/>
          <w:szCs w:val="42"/>
        </w:rPr>
        <w:t>Cor. 11:23-26)</w:t>
      </w:r>
    </w:p>
    <w:p w:rsidR="000F7C8D" w:rsidRPr="000F7C8D" w:rsidRDefault="00C6400A" w:rsidP="000F7C8D">
      <w:pPr>
        <w:spacing w:after="150" w:line="240" w:lineRule="auto"/>
        <w:rPr>
          <w:rFonts w:ascii="&amp;quot" w:eastAsia="Times New Roman" w:hAnsi="&amp;quot" w:cs="Times New Roman"/>
          <w:color w:val="676767"/>
          <w:spacing w:val="15"/>
          <w:sz w:val="21"/>
          <w:szCs w:val="21"/>
        </w:rPr>
      </w:pPr>
      <w:hyperlink r:id="rId6" w:tooltip="Posts by Craig M. Watts" w:history="1">
        <w:r w:rsidR="000F7C8D" w:rsidRPr="000F7C8D">
          <w:rPr>
            <w:rFonts w:ascii="&amp;quot" w:eastAsia="Times New Roman" w:hAnsi="&amp;quot" w:cs="Times New Roman"/>
            <w:color w:val="676767"/>
            <w:spacing w:val="15"/>
            <w:sz w:val="21"/>
            <w:szCs w:val="21"/>
            <w:u w:val="single"/>
          </w:rPr>
          <w:t>Craig M. Watts</w:t>
        </w:r>
      </w:hyperlink>
    </w:p>
    <w:p w:rsidR="000F7C8D" w:rsidRDefault="000F7C8D" w:rsidP="000F7C8D">
      <w:pPr>
        <w:spacing w:after="255" w:line="240" w:lineRule="auto"/>
        <w:rPr>
          <w:rFonts w:ascii="Arial Unicode MS" w:eastAsia="Arial Unicode MS" w:hAnsi="Arial Unicode MS" w:cs="Arial Unicode MS"/>
          <w:sz w:val="28"/>
          <w:szCs w:val="28"/>
        </w:rPr>
      </w:pPr>
      <w:r w:rsidRPr="000F7C8D">
        <w:rPr>
          <w:rFonts w:ascii="Arial Unicode MS" w:eastAsia="Arial Unicode MS" w:hAnsi="Arial Unicode MS" w:cs="Arial Unicode MS"/>
          <w:sz w:val="28"/>
          <w:szCs w:val="28"/>
        </w:rPr>
        <w:t>In the later years of his life, the great 19th century American philosopher Ralph Waldo Emerson suffered from an increasingly faulty memory. When things would slip his mind, he complained of his “naughty memory,” as he called it. Sometimes Emerson would forget the names of different objects. In order to speak of them, he would refer to them in a round-about way. For instance, when he could not think of the word “plow,” he would call it “the implement that cultivates the soil.” More important was the fact that he could not remember the names of people who were quite familiar to him. At the funeral of his friend, the poet Henry Wadsworth Longfellow, Emerson commented to another person, “That gentleman has a sweet, beautiful soul, but I have entirely forgotten his name.”</w:t>
      </w:r>
      <w:r w:rsidRPr="000F7C8D">
        <w:rPr>
          <w:rFonts w:ascii="Arial Unicode MS" w:eastAsia="Arial Unicode MS" w:hAnsi="Arial Unicode MS" w:cs="Arial Unicode MS"/>
          <w:sz w:val="28"/>
          <w:szCs w:val="28"/>
        </w:rPr>
        <w:br/>
      </w:r>
    </w:p>
    <w:p w:rsidR="000F7C8D" w:rsidRDefault="000F7C8D" w:rsidP="000F7C8D">
      <w:pPr>
        <w:spacing w:after="255" w:line="240" w:lineRule="auto"/>
        <w:rPr>
          <w:rFonts w:ascii="Arial Unicode MS" w:eastAsia="Arial Unicode MS" w:hAnsi="Arial Unicode MS" w:cs="Arial Unicode MS"/>
          <w:sz w:val="28"/>
          <w:szCs w:val="28"/>
        </w:rPr>
      </w:pPr>
      <w:r w:rsidRPr="000F7C8D">
        <w:rPr>
          <w:rFonts w:ascii="Arial Unicode MS" w:eastAsia="Arial Unicode MS" w:hAnsi="Arial Unicode MS" w:cs="Arial Unicode MS"/>
          <w:sz w:val="28"/>
          <w:szCs w:val="28"/>
        </w:rPr>
        <w:t>The loss of memory is a sad thing. It cuts us off from days gone by. It strips away the treasured residue of past experience. It erases our personal history and leaves us unaccountably blank pages. Not long ago I was visiting in the home of a delightful older woman. Periodically in the course of our conversation she would stop and — after a moment’s silence — would remark, “I’ve forgotten what I was going to say.” After this happened several times she confessed, “It’s so humiliating to have your memory go bad.” Certainly it is unfortunate, inconvenient and at times embarrassing not to remember. Yet without a doubt, for some people the failure of memory is largely unavoidable.</w:t>
      </w:r>
      <w:r w:rsidRPr="000F7C8D">
        <w:rPr>
          <w:rFonts w:ascii="Arial Unicode MS" w:eastAsia="Arial Unicode MS" w:hAnsi="Arial Unicode MS" w:cs="Arial Unicode MS"/>
          <w:sz w:val="28"/>
          <w:szCs w:val="28"/>
        </w:rPr>
        <w:br/>
      </w:r>
      <w:r w:rsidRPr="000F7C8D">
        <w:rPr>
          <w:rFonts w:ascii="Arial Unicode MS" w:eastAsia="Arial Unicode MS" w:hAnsi="Arial Unicode MS" w:cs="Arial Unicode MS"/>
          <w:sz w:val="28"/>
          <w:szCs w:val="28"/>
        </w:rPr>
        <w:lastRenderedPageBreak/>
        <w:t>That is not always the case. Sometimes we are forgetful because we neglect that which has gone before us and become inattentive to those who have preceded us. We center all of our attention only on our own time and place. We act as though the present is all that matters and the past is some shabby thing that can be safely cast off and left behind like a worn-out pair of shoes.</w:t>
      </w:r>
      <w:r w:rsidRPr="000F7C8D">
        <w:rPr>
          <w:rFonts w:ascii="Arial Unicode MS" w:eastAsia="Arial Unicode MS" w:hAnsi="Arial Unicode MS" w:cs="Arial Unicode MS"/>
          <w:sz w:val="28"/>
          <w:szCs w:val="28"/>
        </w:rPr>
        <w:br/>
      </w:r>
    </w:p>
    <w:p w:rsidR="000F7C8D" w:rsidRDefault="000F7C8D" w:rsidP="000F7C8D">
      <w:pPr>
        <w:spacing w:after="255" w:line="240" w:lineRule="auto"/>
        <w:rPr>
          <w:rFonts w:ascii="Arial Unicode MS" w:eastAsia="Arial Unicode MS" w:hAnsi="Arial Unicode MS" w:cs="Arial Unicode MS"/>
          <w:sz w:val="28"/>
          <w:szCs w:val="28"/>
        </w:rPr>
      </w:pPr>
      <w:r w:rsidRPr="000F7C8D">
        <w:rPr>
          <w:rFonts w:ascii="Arial Unicode MS" w:eastAsia="Arial Unicode MS" w:hAnsi="Arial Unicode MS" w:cs="Arial Unicode MS"/>
          <w:sz w:val="28"/>
          <w:szCs w:val="28"/>
        </w:rPr>
        <w:t>Here we are with Memorial Day upon us. On this occasion we are called upon to remember and respect those who have died, those whose days are gone. It is no surprise to us that many people do not reflect upon the past during this holiday any more than they do on any other day. In our age of ever-accelerating change, we don’t tend to look to the past to find our wisdom. We view what “has been” as largely irrelevant to what is now. The ancients are not our models. We place little value in traditions and inherited customs. And so when Memorial Day rolls around, our thoughts do not automatically turn to the past and to the departed. Most people appreciate Memorial Day largely because it is an extra day off work.</w:t>
      </w:r>
      <w:r w:rsidRPr="000F7C8D">
        <w:rPr>
          <w:rFonts w:ascii="Arial Unicode MS" w:eastAsia="Arial Unicode MS" w:hAnsi="Arial Unicode MS" w:cs="Arial Unicode MS"/>
          <w:sz w:val="28"/>
          <w:szCs w:val="28"/>
        </w:rPr>
        <w:br/>
        <w:t>My purpose is not to be an advocate for a renewed practice of Memorial Day.</w:t>
      </w:r>
    </w:p>
    <w:p w:rsidR="000F7C8D" w:rsidRDefault="000F7C8D" w:rsidP="000F7C8D">
      <w:pPr>
        <w:spacing w:after="255" w:line="240" w:lineRule="auto"/>
        <w:rPr>
          <w:rFonts w:ascii="Arial Unicode MS" w:eastAsia="Arial Unicode MS" w:hAnsi="Arial Unicode MS" w:cs="Arial Unicode MS"/>
          <w:sz w:val="28"/>
          <w:szCs w:val="28"/>
        </w:rPr>
      </w:pPr>
      <w:r w:rsidRPr="000F7C8D">
        <w:rPr>
          <w:rFonts w:ascii="Arial Unicode MS" w:eastAsia="Arial Unicode MS" w:hAnsi="Arial Unicode MS" w:cs="Arial Unicode MS"/>
          <w:sz w:val="28"/>
          <w:szCs w:val="28"/>
        </w:rPr>
        <w:t xml:space="preserve"> This holiday is not expressly religious. It is secular. Nevertheless, it can serve to promote a value that is elevated throughout the Scriptures, that value being the importance of remembrance. You see, a failure of memory is not just something which leads to personal inconvenience or social embarrassment. It is a spiritual danger. A failure of memory in those things which are most significant results in a failure of faith. Forgetfulness erodes </w:t>
      </w:r>
      <w:r w:rsidRPr="000F7C8D">
        <w:rPr>
          <w:rFonts w:ascii="Arial Unicode MS" w:eastAsia="Arial Unicode MS" w:hAnsi="Arial Unicode MS" w:cs="Arial Unicode MS"/>
          <w:sz w:val="28"/>
          <w:szCs w:val="28"/>
        </w:rPr>
        <w:lastRenderedPageBreak/>
        <w:t>the foundation of our relationship with God.</w:t>
      </w:r>
      <w:r w:rsidRPr="000F7C8D">
        <w:rPr>
          <w:rFonts w:ascii="Arial Unicode MS" w:eastAsia="Arial Unicode MS" w:hAnsi="Arial Unicode MS" w:cs="Arial Unicode MS"/>
          <w:sz w:val="28"/>
          <w:szCs w:val="28"/>
        </w:rPr>
        <w:br/>
        <w:t>A quick scanning of the biblical documents make apparent the importance that is placed upon remembering. Throughout the scriptures we find references to monuments, memorial feasts, and ritually repeated stories, all of which serve to reinforce the sacred memory of the people of God. In various ways the great saving acts of God were rehearsed and re-presented so that the people would not forget what God had done for their sake.</w:t>
      </w:r>
      <w:r w:rsidRPr="000F7C8D">
        <w:rPr>
          <w:rFonts w:ascii="Arial Unicode MS" w:eastAsia="Arial Unicode MS" w:hAnsi="Arial Unicode MS" w:cs="Arial Unicode MS"/>
          <w:sz w:val="28"/>
          <w:szCs w:val="28"/>
        </w:rPr>
        <w:br/>
      </w:r>
    </w:p>
    <w:p w:rsidR="000F7C8D" w:rsidRDefault="000F7C8D" w:rsidP="000F7C8D">
      <w:pPr>
        <w:spacing w:after="255" w:line="240" w:lineRule="auto"/>
        <w:rPr>
          <w:rFonts w:ascii="Arial Unicode MS" w:eastAsia="Arial Unicode MS" w:hAnsi="Arial Unicode MS" w:cs="Arial Unicode MS"/>
          <w:sz w:val="28"/>
          <w:szCs w:val="28"/>
        </w:rPr>
      </w:pPr>
      <w:r w:rsidRPr="000F7C8D">
        <w:rPr>
          <w:rFonts w:ascii="Arial Unicode MS" w:eastAsia="Arial Unicode MS" w:hAnsi="Arial Unicode MS" w:cs="Arial Unicode MS"/>
          <w:sz w:val="28"/>
          <w:szCs w:val="28"/>
        </w:rPr>
        <w:t>The Old Testament text, Joshua 4:1-9, stands as one example of this practice. The biblical narrative which leads up to this text tells the story of the Israelites’ long-awaited entry into the promised land. After forty years of wilderness wandering the people finally reached their destination. The swollen Jordan River blocked their way into the land but they did not stop.</w:t>
      </w:r>
      <w:r w:rsidRPr="000F7C8D">
        <w:rPr>
          <w:rFonts w:ascii="Arial Unicode MS" w:eastAsia="Arial Unicode MS" w:hAnsi="Arial Unicode MS" w:cs="Arial Unicode MS"/>
          <w:sz w:val="28"/>
          <w:szCs w:val="28"/>
        </w:rPr>
        <w:br/>
        <w:t xml:space="preserve">When the priests who were carrying the ark of the covenant began to place their feet in the river, the water ceased flowing and the people crossed over on dry ground, just as their forebears had when they escaped the Egyptians. When they all finished passing over the Jordan, the leader of Israel, Joshua, had a simple monument built to commemorate the wondrous event. This served to remind the people that their progress — indeed, their very existence — was in the hands of the living God. The </w:t>
      </w:r>
    </w:p>
    <w:p w:rsidR="000F7C8D" w:rsidRDefault="000F7C8D" w:rsidP="000F7C8D">
      <w:pPr>
        <w:spacing w:after="255" w:line="240" w:lineRule="auto"/>
        <w:rPr>
          <w:rFonts w:ascii="Arial Unicode MS" w:eastAsia="Arial Unicode MS" w:hAnsi="Arial Unicode MS" w:cs="Arial Unicode MS"/>
          <w:sz w:val="28"/>
          <w:szCs w:val="28"/>
        </w:rPr>
      </w:pPr>
      <w:r w:rsidRPr="000F7C8D">
        <w:rPr>
          <w:rFonts w:ascii="Arial Unicode MS" w:eastAsia="Arial Unicode MS" w:hAnsi="Arial Unicode MS" w:cs="Arial Unicode MS"/>
          <w:sz w:val="28"/>
          <w:szCs w:val="28"/>
        </w:rPr>
        <w:t>Passover feast which Moses instituted was to serve a similar purpose; it was to remind the people that it was God and not they themselves who brought about their liberation from slavery in Egypt.</w:t>
      </w:r>
      <w:r w:rsidRPr="000F7C8D">
        <w:rPr>
          <w:rFonts w:ascii="Arial Unicode MS" w:eastAsia="Arial Unicode MS" w:hAnsi="Arial Unicode MS" w:cs="Arial Unicode MS"/>
          <w:sz w:val="28"/>
          <w:szCs w:val="28"/>
        </w:rPr>
        <w:br/>
        <w:t xml:space="preserve">With pounding insistence the call to remember is repeated throughout </w:t>
      </w:r>
      <w:r w:rsidRPr="000F7C8D">
        <w:rPr>
          <w:rFonts w:ascii="Arial Unicode MS" w:eastAsia="Arial Unicode MS" w:hAnsi="Arial Unicode MS" w:cs="Arial Unicode MS"/>
          <w:sz w:val="28"/>
          <w:szCs w:val="28"/>
        </w:rPr>
        <w:lastRenderedPageBreak/>
        <w:t>scripture. Remember that God called your father Abraham in his old age and promised him many children. Remember that you were in bondage in a foreign land and were freed by divine power. Remember that God brought Israel to greatness, though she was weak. Remember the commands of the Lord. The Psalmist summed up the message well when he wrote:</w:t>
      </w:r>
      <w:r w:rsidRPr="000F7C8D">
        <w:rPr>
          <w:rFonts w:ascii="Arial Unicode MS" w:eastAsia="Arial Unicode MS" w:hAnsi="Arial Unicode MS" w:cs="Arial Unicode MS"/>
          <w:sz w:val="28"/>
          <w:szCs w:val="28"/>
        </w:rPr>
        <w:br/>
        <w:t>“Remember the wonderful works that God has done God’s great deed and the judgments the Lord utter, O offspring of Abraham God’s servant.” (Psalms 105:5)</w:t>
      </w:r>
      <w:r w:rsidRPr="000F7C8D">
        <w:rPr>
          <w:rFonts w:ascii="Arial Unicode MS" w:eastAsia="Arial Unicode MS" w:hAnsi="Arial Unicode MS" w:cs="Arial Unicode MS"/>
          <w:sz w:val="28"/>
          <w:szCs w:val="28"/>
        </w:rPr>
        <w:br/>
      </w:r>
    </w:p>
    <w:p w:rsidR="000F7C8D" w:rsidRDefault="000F7C8D" w:rsidP="000F7C8D">
      <w:pPr>
        <w:spacing w:after="255" w:line="240" w:lineRule="auto"/>
        <w:rPr>
          <w:rFonts w:ascii="Arial Unicode MS" w:eastAsia="Arial Unicode MS" w:hAnsi="Arial Unicode MS" w:cs="Arial Unicode MS"/>
          <w:sz w:val="28"/>
          <w:szCs w:val="28"/>
        </w:rPr>
      </w:pPr>
      <w:r w:rsidRPr="000F7C8D">
        <w:rPr>
          <w:rFonts w:ascii="Arial Unicode MS" w:eastAsia="Arial Unicode MS" w:hAnsi="Arial Unicode MS" w:cs="Arial Unicode MS"/>
          <w:sz w:val="28"/>
          <w:szCs w:val="28"/>
        </w:rPr>
        <w:t>Those who forgot the past fell into thanklessness. It is unlikely that we will do any better. If we forget the value of our heritage and the source of our blessings, it will become very easy for us to take for granted all that we have and all that we are. It will be very easy for us to begin believing that we can make our own way without God. With the blindness of pride we will very likely begin trusting in our own wisdom and power rather than relying upon the guidance and might of our Maker. Then in our wrong-headed self-confidence we will lose our way. For this reason it is crucial that we remember.</w:t>
      </w:r>
      <w:r w:rsidRPr="000F7C8D">
        <w:rPr>
          <w:rFonts w:ascii="Arial Unicode MS" w:eastAsia="Arial Unicode MS" w:hAnsi="Arial Unicode MS" w:cs="Arial Unicode MS"/>
          <w:sz w:val="28"/>
          <w:szCs w:val="28"/>
        </w:rPr>
        <w:br/>
      </w:r>
    </w:p>
    <w:p w:rsidR="000F7C8D" w:rsidRDefault="000F7C8D" w:rsidP="000F7C8D">
      <w:pPr>
        <w:spacing w:after="255" w:line="240" w:lineRule="auto"/>
        <w:rPr>
          <w:rFonts w:ascii="Arial Unicode MS" w:eastAsia="Arial Unicode MS" w:hAnsi="Arial Unicode MS" w:cs="Arial Unicode MS"/>
          <w:sz w:val="28"/>
          <w:szCs w:val="28"/>
        </w:rPr>
      </w:pPr>
      <w:r w:rsidRPr="000F7C8D">
        <w:rPr>
          <w:rFonts w:ascii="Arial Unicode MS" w:eastAsia="Arial Unicode MS" w:hAnsi="Arial Unicode MS" w:cs="Arial Unicode MS"/>
          <w:sz w:val="28"/>
          <w:szCs w:val="28"/>
        </w:rPr>
        <w:t xml:space="preserve">I suppose that every culture and country has its memorials. The best memorials lift our sights above the mundane affairs of the moment in order to focus our attention upon the highest aspirations and accomplishments of those who have preceded us. When we visit the Lincoln Memorial or Washington Monument, it is natural to begin meditating upon the impressive deeds and high values of these forebears. Visits to such places </w:t>
      </w:r>
      <w:r w:rsidRPr="000F7C8D">
        <w:rPr>
          <w:rFonts w:ascii="Arial Unicode MS" w:eastAsia="Arial Unicode MS" w:hAnsi="Arial Unicode MS" w:cs="Arial Unicode MS"/>
          <w:sz w:val="28"/>
          <w:szCs w:val="28"/>
        </w:rPr>
        <w:lastRenderedPageBreak/>
        <w:t>can help stimulate us to embrace more noble and exalted goals.</w:t>
      </w:r>
      <w:r w:rsidRPr="000F7C8D">
        <w:rPr>
          <w:rFonts w:ascii="Arial Unicode MS" w:eastAsia="Arial Unicode MS" w:hAnsi="Arial Unicode MS" w:cs="Arial Unicode MS"/>
          <w:sz w:val="28"/>
          <w:szCs w:val="28"/>
        </w:rPr>
        <w:br/>
        <w:t>But sometimes memorials can serve less honorable purposes. Not only do memorials call attention to the best in the past; they also can be used to cover up the worst. An impressive monument can bestow dignity upon a dubious endeavor or questionable person of days gone by. Such memorials do no service to the truth for they hide unflattering facts. At times a memorial itself can be greater than the person it is supposed to honor.</w:t>
      </w:r>
    </w:p>
    <w:p w:rsidR="000F7C8D" w:rsidRDefault="000F7C8D" w:rsidP="000F7C8D">
      <w:pPr>
        <w:spacing w:after="255" w:line="240" w:lineRule="auto"/>
        <w:rPr>
          <w:rFonts w:ascii="Arial Unicode MS" w:eastAsia="Arial Unicode MS" w:hAnsi="Arial Unicode MS" w:cs="Arial Unicode MS"/>
          <w:sz w:val="28"/>
          <w:szCs w:val="28"/>
        </w:rPr>
      </w:pPr>
      <w:r w:rsidRPr="000F7C8D">
        <w:rPr>
          <w:rFonts w:ascii="Arial Unicode MS" w:eastAsia="Arial Unicode MS" w:hAnsi="Arial Unicode MS" w:cs="Arial Unicode MS"/>
          <w:sz w:val="28"/>
          <w:szCs w:val="28"/>
        </w:rPr>
        <w:t xml:space="preserve"> For instance, Michelangelo’s sculpture for the tomb of Pope Julius II is a magnificent creation, but the Pope it was to pay tribute to was pretty much a scoundrel. But we don’t want memorials to highlight the dark side of the past, the atrocities and treacheries. We prefer our memorials to comfort and reassure us, rather than warn us or disturb our complacency.</w:t>
      </w:r>
      <w:r w:rsidRPr="000F7C8D">
        <w:rPr>
          <w:rFonts w:ascii="Arial Unicode MS" w:eastAsia="Arial Unicode MS" w:hAnsi="Arial Unicode MS" w:cs="Arial Unicode MS"/>
          <w:sz w:val="28"/>
          <w:szCs w:val="28"/>
        </w:rPr>
        <w:br/>
        <w:t xml:space="preserve">Sometimes dwelling on the past is a means of escaping the problems of the present and the disturbing prospects of the future. </w:t>
      </w:r>
    </w:p>
    <w:p w:rsidR="000F7C8D" w:rsidRDefault="000F7C8D" w:rsidP="000F7C8D">
      <w:pPr>
        <w:spacing w:after="255" w:line="240" w:lineRule="auto"/>
        <w:rPr>
          <w:rFonts w:ascii="Arial Unicode MS" w:eastAsia="Arial Unicode MS" w:hAnsi="Arial Unicode MS" w:cs="Arial Unicode MS"/>
          <w:sz w:val="28"/>
          <w:szCs w:val="28"/>
        </w:rPr>
      </w:pPr>
      <w:r w:rsidRPr="000F7C8D">
        <w:rPr>
          <w:rFonts w:ascii="Arial Unicode MS" w:eastAsia="Arial Unicode MS" w:hAnsi="Arial Unicode MS" w:cs="Arial Unicode MS"/>
          <w:sz w:val="28"/>
          <w:szCs w:val="28"/>
        </w:rPr>
        <w:t>Sometimes we are tempted to glorify days gone by. I suppose we all know people who seem to continually talk about how great things used to be. Life was simpler, friendships were closer, motives were more pure, morals were higher and so on. This is the Golden Age syndrome. For some people the Golden Age was the 1920s; for others it was the 1960s. No matter what our favorite period may be, the problem with looking back to a Golden Age is that we distort the past and we come to believe that the best days of life have already gone by.</w:t>
      </w:r>
    </w:p>
    <w:p w:rsidR="000F7C8D" w:rsidRDefault="000F7C8D" w:rsidP="000F7C8D">
      <w:pPr>
        <w:spacing w:after="255" w:line="240" w:lineRule="auto"/>
        <w:rPr>
          <w:rFonts w:ascii="Arial Unicode MS" w:eastAsia="Arial Unicode MS" w:hAnsi="Arial Unicode MS" w:cs="Arial Unicode MS"/>
          <w:sz w:val="28"/>
          <w:szCs w:val="28"/>
        </w:rPr>
      </w:pPr>
      <w:r w:rsidRPr="000F7C8D">
        <w:rPr>
          <w:rFonts w:ascii="Arial Unicode MS" w:eastAsia="Arial Unicode MS" w:hAnsi="Arial Unicode MS" w:cs="Arial Unicode MS"/>
          <w:sz w:val="28"/>
          <w:szCs w:val="28"/>
        </w:rPr>
        <w:lastRenderedPageBreak/>
        <w:t xml:space="preserve"> Everything else that follows is anticlimactic. Consequently some people, who are disappointed with the present and distressed over the future, tend to live in the past. Their memories are highly important to them but they do not have hopeful memories.</w:t>
      </w:r>
      <w:r w:rsidRPr="000F7C8D">
        <w:rPr>
          <w:rFonts w:ascii="Arial Unicode MS" w:eastAsia="Arial Unicode MS" w:hAnsi="Arial Unicode MS" w:cs="Arial Unicode MS"/>
          <w:sz w:val="28"/>
          <w:szCs w:val="28"/>
        </w:rPr>
        <w:br/>
      </w:r>
    </w:p>
    <w:p w:rsidR="000F7C8D" w:rsidRDefault="000F7C8D" w:rsidP="000F7C8D">
      <w:pPr>
        <w:spacing w:after="255" w:line="240" w:lineRule="auto"/>
        <w:rPr>
          <w:rFonts w:ascii="Arial Unicode MS" w:eastAsia="Arial Unicode MS" w:hAnsi="Arial Unicode MS" w:cs="Arial Unicode MS"/>
          <w:sz w:val="28"/>
          <w:szCs w:val="28"/>
        </w:rPr>
      </w:pPr>
      <w:r w:rsidRPr="000F7C8D">
        <w:rPr>
          <w:rFonts w:ascii="Arial Unicode MS" w:eastAsia="Arial Unicode MS" w:hAnsi="Arial Unicode MS" w:cs="Arial Unicode MS"/>
          <w:sz w:val="28"/>
          <w:szCs w:val="28"/>
        </w:rPr>
        <w:t>You see, hopeful memory does not drag us into the past and lock us there. Hopeful memory does not tell us that the best of life has already come and gone. Rather it thrusts us into the future. When the prophets of old called upon God’s people and told them to remember the works that the Lord had done in the past, this was to prepare them for the future. They were not called upon to remember the past for its own sake. The practice was not a self-indulgent diversion. Rather they were to remember the wonders of the past so that their lives would be open to the even greater wonders God would do for them in the future.</w:t>
      </w:r>
      <w:r w:rsidRPr="000F7C8D">
        <w:rPr>
          <w:rFonts w:ascii="Arial Unicode MS" w:eastAsia="Arial Unicode MS" w:hAnsi="Arial Unicode MS" w:cs="Arial Unicode MS"/>
          <w:sz w:val="28"/>
          <w:szCs w:val="28"/>
        </w:rPr>
        <w:br/>
      </w:r>
    </w:p>
    <w:p w:rsidR="000F7C8D" w:rsidRDefault="000F7C8D" w:rsidP="000F7C8D">
      <w:pPr>
        <w:spacing w:after="255" w:line="240" w:lineRule="auto"/>
        <w:rPr>
          <w:rFonts w:ascii="Arial Unicode MS" w:eastAsia="Arial Unicode MS" w:hAnsi="Arial Unicode MS" w:cs="Arial Unicode MS"/>
          <w:sz w:val="28"/>
          <w:szCs w:val="28"/>
        </w:rPr>
      </w:pPr>
      <w:r w:rsidRPr="000F7C8D">
        <w:rPr>
          <w:rFonts w:ascii="Arial Unicode MS" w:eastAsia="Arial Unicode MS" w:hAnsi="Arial Unicode MS" w:cs="Arial Unicode MS"/>
          <w:sz w:val="28"/>
          <w:szCs w:val="28"/>
        </w:rPr>
        <w:t>The Lord’s Supper is a hopeful memorial. It does not falsely glorify the past. When we partake of the bread and cup we remember the broken body and blood of the Lord. Images of deceit, betrayal and cruelty impose themselves upon us. The memorial feast confronts us with the disquieting fact that we humans are all too capable of striking out against true holiness and supreme goodness and treating it as demonic if it does not work out to our advantage. That is not the kind of memory we hold dear. But the Lord’s Supper does more. It reminds us of the sacrificial love of God. It speaks to us of a love that will not let us go but which reaches out to us, despite our evil.</w:t>
      </w:r>
      <w:r w:rsidRPr="000F7C8D">
        <w:rPr>
          <w:rFonts w:ascii="Arial Unicode MS" w:eastAsia="Arial Unicode MS" w:hAnsi="Arial Unicode MS" w:cs="Arial Unicode MS"/>
          <w:sz w:val="28"/>
          <w:szCs w:val="28"/>
        </w:rPr>
        <w:br/>
      </w:r>
      <w:r w:rsidRPr="000F7C8D">
        <w:rPr>
          <w:rFonts w:ascii="Arial Unicode MS" w:eastAsia="Arial Unicode MS" w:hAnsi="Arial Unicode MS" w:cs="Arial Unicode MS"/>
          <w:sz w:val="28"/>
          <w:szCs w:val="28"/>
        </w:rPr>
        <w:lastRenderedPageBreak/>
        <w:t>Yet in the Lord’s Supper we see even more than that. We also see the promise of Jesus Christ that He will come again and that we will eat and drink anew with our Lord in the kingdom of God (Mark 14:25). The Lord’s Supper points us not only to the past but toward the promised future as well. The past and the future are made into vital contemporary realities for us by the presence of Christ. The meal is a memorial that reinforces a hopeful memory.</w:t>
      </w:r>
      <w:r w:rsidRPr="000F7C8D">
        <w:rPr>
          <w:rFonts w:ascii="Arial Unicode MS" w:eastAsia="Arial Unicode MS" w:hAnsi="Arial Unicode MS" w:cs="Arial Unicode MS"/>
          <w:sz w:val="28"/>
          <w:szCs w:val="28"/>
        </w:rPr>
        <w:br/>
      </w:r>
    </w:p>
    <w:p w:rsidR="000F7C8D" w:rsidRDefault="000F7C8D" w:rsidP="000F7C8D">
      <w:pPr>
        <w:spacing w:after="255" w:line="240" w:lineRule="auto"/>
        <w:rPr>
          <w:rFonts w:ascii="Arial Unicode MS" w:eastAsia="Arial Unicode MS" w:hAnsi="Arial Unicode MS" w:cs="Arial Unicode MS"/>
          <w:sz w:val="28"/>
          <w:szCs w:val="28"/>
        </w:rPr>
      </w:pPr>
      <w:r w:rsidRPr="000F7C8D">
        <w:rPr>
          <w:rFonts w:ascii="Arial Unicode MS" w:eastAsia="Arial Unicode MS" w:hAnsi="Arial Unicode MS" w:cs="Arial Unicode MS"/>
          <w:sz w:val="28"/>
          <w:szCs w:val="28"/>
        </w:rPr>
        <w:t>With Memorial Day upon us it is proper to think of the past and of those who have gone from this world. But for those of us who are Christians, this is not exclusively an exercise in looking behind and dwelling upon what has been. For we believe that more wondrous things are yet to come for those people of faith who have already died. We live in light of the resurrection and we believe that death will not be the end.</w:t>
      </w:r>
      <w:r w:rsidRPr="000F7C8D">
        <w:rPr>
          <w:rFonts w:ascii="Arial Unicode MS" w:eastAsia="Arial Unicode MS" w:hAnsi="Arial Unicode MS" w:cs="Arial Unicode MS"/>
          <w:sz w:val="28"/>
          <w:szCs w:val="28"/>
        </w:rPr>
        <w:br/>
      </w:r>
    </w:p>
    <w:p w:rsidR="000F7C8D" w:rsidRPr="000F7C8D" w:rsidRDefault="000F7C8D" w:rsidP="000F7C8D">
      <w:pPr>
        <w:spacing w:after="255" w:line="240" w:lineRule="auto"/>
        <w:rPr>
          <w:rFonts w:ascii="&amp;quot" w:eastAsia="Times New Roman" w:hAnsi="&amp;quot" w:cs="Times New Roman"/>
          <w:sz w:val="24"/>
          <w:szCs w:val="24"/>
        </w:rPr>
      </w:pPr>
      <w:r w:rsidRPr="000F7C8D">
        <w:rPr>
          <w:rFonts w:ascii="Arial Unicode MS" w:eastAsia="Arial Unicode MS" w:hAnsi="Arial Unicode MS" w:cs="Arial Unicode MS"/>
          <w:sz w:val="28"/>
          <w:szCs w:val="28"/>
        </w:rPr>
        <w:t xml:space="preserve">In 1969, Clarence Jordan died of a heart attack. As some of you know, Jordan was the author of the Cotton Patch Version of the Bible and was the founder of Koinonia Farms, an inter-racial community and innovative ministry in rural Georgia. His work had faced vicious opposition from many of the racists in his area during the 50’s and 60’s. In fact, when Jordan died, the local coroners and undertakers were of little help. Jordan was buried in a plain cedar box on a hillside on his farm. Millard Fuller, the founder of Habitat for Humanity, officiated at the funeral. Just after the casket was lowered into the ground and the grave was filled, an unexpected thing happened. Fuller’s two-year-old daughter stepped up to </w:t>
      </w:r>
      <w:r w:rsidRPr="000F7C8D">
        <w:rPr>
          <w:rFonts w:ascii="Arial Unicode MS" w:eastAsia="Arial Unicode MS" w:hAnsi="Arial Unicode MS" w:cs="Arial Unicode MS"/>
          <w:sz w:val="28"/>
          <w:szCs w:val="28"/>
        </w:rPr>
        <w:lastRenderedPageBreak/>
        <w:t>the grave and began to sing the only song the little girl knew.</w:t>
      </w:r>
      <w:r w:rsidRPr="000F7C8D">
        <w:rPr>
          <w:rFonts w:ascii="Arial Unicode MS" w:eastAsia="Arial Unicode MS" w:hAnsi="Arial Unicode MS" w:cs="Arial Unicode MS"/>
          <w:sz w:val="28"/>
          <w:szCs w:val="28"/>
        </w:rPr>
        <w:br/>
        <w:t>Happy birthday to you, Happy birthday to you,</w:t>
      </w:r>
      <w:r w:rsidRPr="000F7C8D">
        <w:rPr>
          <w:rFonts w:ascii="Arial Unicode MS" w:eastAsia="Arial Unicode MS" w:hAnsi="Arial Unicode MS" w:cs="Arial Unicode MS"/>
          <w:sz w:val="28"/>
          <w:szCs w:val="28"/>
        </w:rPr>
        <w:br/>
        <w:t>Happy birthday, dear Clarence</w:t>
      </w:r>
      <w:r w:rsidRPr="000F7C8D">
        <w:rPr>
          <w:rFonts w:ascii="Arial Unicode MS" w:eastAsia="Arial Unicode MS" w:hAnsi="Arial Unicode MS" w:cs="Arial Unicode MS"/>
          <w:sz w:val="28"/>
          <w:szCs w:val="28"/>
        </w:rPr>
        <w:br/>
        <w:t>Happy birthday to you.</w:t>
      </w:r>
      <w:r w:rsidRPr="000F7C8D">
        <w:rPr>
          <w:rFonts w:ascii="Arial Unicode MS" w:eastAsia="Arial Unicode MS" w:hAnsi="Arial Unicode MS" w:cs="Arial Unicode MS"/>
          <w:sz w:val="28"/>
          <w:szCs w:val="28"/>
        </w:rPr>
        <w:br/>
        <w:t>Happy birthday at a funeral? How strange and yet how truly appropriate. For when a Christian dies, it is a birthday of a sorts because death is not an ending but a new beginning. And so when we think of our dead, let us do so with a hopeful memory for an amazing future still awaits them, and the rest of us</w:t>
      </w:r>
      <w:r w:rsidRPr="000F7C8D">
        <w:rPr>
          <w:rFonts w:ascii="&amp;quot" w:eastAsia="Times New Roman" w:hAnsi="&amp;quot" w:cs="Times New Roman"/>
          <w:sz w:val="24"/>
          <w:szCs w:val="24"/>
        </w:rPr>
        <w:t xml:space="preserve"> as well.</w:t>
      </w:r>
    </w:p>
    <w:p w:rsidR="000A64E8" w:rsidRDefault="000A64E8"/>
    <w:sectPr w:rsidR="000A64E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400A" w:rsidRDefault="00C6400A" w:rsidP="000F7C8D">
      <w:pPr>
        <w:spacing w:after="0" w:line="240" w:lineRule="auto"/>
      </w:pPr>
      <w:r>
        <w:separator/>
      </w:r>
    </w:p>
  </w:endnote>
  <w:endnote w:type="continuationSeparator" w:id="0">
    <w:p w:rsidR="00C6400A" w:rsidRDefault="00C6400A" w:rsidP="000F7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mp;quot">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301077"/>
      <w:docPartObj>
        <w:docPartGallery w:val="Page Numbers (Bottom of Page)"/>
        <w:docPartUnique/>
      </w:docPartObj>
    </w:sdtPr>
    <w:sdtEndPr>
      <w:rPr>
        <w:noProof/>
      </w:rPr>
    </w:sdtEndPr>
    <w:sdtContent>
      <w:p w:rsidR="000F7C8D" w:rsidRDefault="000F7C8D">
        <w:pPr>
          <w:pStyle w:val="Footer"/>
          <w:jc w:val="right"/>
        </w:pPr>
        <w:r>
          <w:fldChar w:fldCharType="begin"/>
        </w:r>
        <w:r>
          <w:instrText xml:space="preserve"> PAGE   \* MERGEFORMAT </w:instrText>
        </w:r>
        <w:r>
          <w:fldChar w:fldCharType="separate"/>
        </w:r>
        <w:r w:rsidR="00BF22FD">
          <w:rPr>
            <w:noProof/>
          </w:rPr>
          <w:t>2</w:t>
        </w:r>
        <w:r>
          <w:rPr>
            <w:noProof/>
          </w:rPr>
          <w:fldChar w:fldCharType="end"/>
        </w:r>
      </w:p>
    </w:sdtContent>
  </w:sdt>
  <w:p w:rsidR="000F7C8D" w:rsidRDefault="000F7C8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400A" w:rsidRDefault="00C6400A" w:rsidP="000F7C8D">
      <w:pPr>
        <w:spacing w:after="0" w:line="240" w:lineRule="auto"/>
      </w:pPr>
      <w:r>
        <w:separator/>
      </w:r>
    </w:p>
  </w:footnote>
  <w:footnote w:type="continuationSeparator" w:id="0">
    <w:p w:rsidR="00C6400A" w:rsidRDefault="00C6400A" w:rsidP="000F7C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C8D"/>
    <w:rsid w:val="000A64E8"/>
    <w:rsid w:val="000F7C8D"/>
    <w:rsid w:val="0019215B"/>
    <w:rsid w:val="007923F3"/>
    <w:rsid w:val="007B1028"/>
    <w:rsid w:val="00BF22FD"/>
    <w:rsid w:val="00C64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B32A42-FB59-4566-9944-A7B9C3A7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7C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C8D"/>
  </w:style>
  <w:style w:type="paragraph" w:styleId="Footer">
    <w:name w:val="footer"/>
    <w:basedOn w:val="Normal"/>
    <w:link w:val="FooterChar"/>
    <w:uiPriority w:val="99"/>
    <w:unhideWhenUsed/>
    <w:rsid w:val="000F7C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7C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757418">
      <w:bodyDiv w:val="1"/>
      <w:marLeft w:val="0"/>
      <w:marRight w:val="0"/>
      <w:marTop w:val="0"/>
      <w:marBottom w:val="0"/>
      <w:divBdr>
        <w:top w:val="none" w:sz="0" w:space="0" w:color="auto"/>
        <w:left w:val="none" w:sz="0" w:space="0" w:color="auto"/>
        <w:bottom w:val="none" w:sz="0" w:space="0" w:color="auto"/>
        <w:right w:val="none" w:sz="0" w:space="0" w:color="auto"/>
      </w:divBdr>
      <w:divsChild>
        <w:div w:id="200628534">
          <w:marLeft w:val="0"/>
          <w:marRight w:val="0"/>
          <w:marTop w:val="300"/>
          <w:marBottom w:val="0"/>
          <w:divBdr>
            <w:top w:val="none" w:sz="0" w:space="0" w:color="auto"/>
            <w:left w:val="none" w:sz="0" w:space="0" w:color="auto"/>
            <w:bottom w:val="none" w:sz="0" w:space="0" w:color="auto"/>
            <w:right w:val="none" w:sz="0" w:space="0" w:color="auto"/>
          </w:divBdr>
          <w:divsChild>
            <w:div w:id="225577204">
              <w:marLeft w:val="0"/>
              <w:marRight w:val="0"/>
              <w:marTop w:val="0"/>
              <w:marBottom w:val="0"/>
              <w:divBdr>
                <w:top w:val="none" w:sz="0" w:space="0" w:color="auto"/>
                <w:left w:val="none" w:sz="0" w:space="0" w:color="auto"/>
                <w:bottom w:val="none" w:sz="0" w:space="0" w:color="auto"/>
                <w:right w:val="none" w:sz="0" w:space="0" w:color="auto"/>
              </w:divBdr>
              <w:divsChild>
                <w:div w:id="678237766">
                  <w:marLeft w:val="0"/>
                  <w:marRight w:val="105"/>
                  <w:marTop w:val="0"/>
                  <w:marBottom w:val="1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reaching.com/contributors/craig-m-watts/"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1725</Words>
  <Characters>9835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Reding</dc:creator>
  <cp:keywords/>
  <dc:description/>
  <cp:lastModifiedBy>Steve Reding</cp:lastModifiedBy>
  <cp:revision>2</cp:revision>
  <dcterms:created xsi:type="dcterms:W3CDTF">2019-05-26T14:26:00Z</dcterms:created>
  <dcterms:modified xsi:type="dcterms:W3CDTF">2019-05-26T14:26:00Z</dcterms:modified>
</cp:coreProperties>
</file>