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AED6" w14:textId="399DC276" w:rsidR="00784FA2" w:rsidRPr="00784FA2" w:rsidRDefault="00784FA2" w:rsidP="00784FA2">
      <w:pPr>
        <w:rPr>
          <w:sz w:val="44"/>
          <w:szCs w:val="44"/>
        </w:rPr>
      </w:pPr>
      <w:r w:rsidRPr="00784FA2">
        <w:rPr>
          <w:sz w:val="44"/>
          <w:szCs w:val="44"/>
        </w:rPr>
        <w:t>Texto lamina 2</w:t>
      </w:r>
    </w:p>
    <w:p w14:paraId="0C886962" w14:textId="77777777" w:rsidR="00784FA2" w:rsidRDefault="00784FA2" w:rsidP="00784FA2"/>
    <w:p w14:paraId="6A036589" w14:textId="77777777" w:rsidR="00784FA2" w:rsidRDefault="00784FA2" w:rsidP="00784FA2"/>
    <w:p w14:paraId="4B1B4BD3" w14:textId="683F9350" w:rsidR="00784FA2" w:rsidRPr="00784FA2" w:rsidRDefault="00784FA2" w:rsidP="00784FA2">
      <w:r w:rsidRPr="00784FA2">
        <w:t>Proyecto: Reorganización Funcional del Servicio de Urgencias Pediátricas – Hospital Infantil Los Ángeles.</w:t>
      </w:r>
      <w:r w:rsidRPr="00784FA2">
        <w:br/>
      </w:r>
      <w:r w:rsidRPr="00784FA2">
        <w:br/>
        <w:t>La selección de materiales y acabados para la reorganización del servicio de Urgencias Pediátricas se ha fundamentado estrictamente en los criterios de asepsia, durabilidad, seguridad y humanización exigidos por la Resolución 1633 de 2025 (Anexo 1). La propuesta arquitectónica prioriza la creación de superficies continuas y de fácil limpieza, minimizando el riesgo de infecciones asociadas a la atención en salud (IAAS) y garantizando la seguridad del paciente pediátrico.</w:t>
      </w:r>
      <w:r w:rsidRPr="00784FA2">
        <w:br/>
      </w:r>
      <w:r w:rsidRPr="00784FA2">
        <w:br/>
      </w:r>
      <w:r w:rsidRPr="00784FA2">
        <w:br/>
      </w:r>
      <w:r w:rsidRPr="00784FA2">
        <w:br/>
        <w:t xml:space="preserve">1. Pisos y Pavimentos: Para garantizar la continuidad de las superficies y evitar la proliferación bacteriana en juntas, se ha especificado el uso de pisos homogéneos de vinilo en rollo (Marca </w:t>
      </w:r>
      <w:proofErr w:type="spellStart"/>
      <w:r w:rsidRPr="00784FA2">
        <w:t>Tarkett</w:t>
      </w:r>
      <w:proofErr w:type="spellEnd"/>
      <w:r w:rsidRPr="00784FA2">
        <w:t>) para todas las áreas de alto tráfico, incluyendo pasillos y salas de espera. De igual manera, en las áreas críticas y asistenciales como las Salas de Observación, Consultorios y la Sala de Reanimación, se implementará piso continuo en rollo, asegurando una superficie impermeable, antideslizante y sólida. En todos los casos, se ejecutará la media caña sanitaria integrada con el mismo material del piso, eliminando ángulos rectos entre piso y pared para facilitar los protocolos de limpieza y desinfección.</w:t>
      </w:r>
      <w:r w:rsidRPr="00784FA2">
        <w:br/>
      </w:r>
      <w:r w:rsidRPr="00784FA2">
        <w:br/>
      </w:r>
      <w:r w:rsidRPr="00784FA2">
        <w:br/>
      </w:r>
      <w:r w:rsidRPr="00784FA2">
        <w:br/>
        <w:t xml:space="preserve">2. Muros y Cielorrasos: La envolvente interior se construirá mediante sistemas de panel yeso resistente a la humedad (RH), garantizando superficies lisas y uniformes. El acabado final se realizará con pintura acrílica de alta asepsia, lavable y resistente a los agentes químicos de limpieza hospitalaria. Los cielorrasos serán continuos (tipo </w:t>
      </w:r>
      <w:proofErr w:type="spellStart"/>
      <w:r w:rsidRPr="00784FA2">
        <w:t>drywall</w:t>
      </w:r>
      <w:proofErr w:type="spellEnd"/>
      <w:r w:rsidRPr="00784FA2">
        <w:t>), evitando el uso de placas desmontables en áreas clínicas para asegurar la hermeticidad e higiene requerida.</w:t>
      </w:r>
      <w:r w:rsidRPr="00784FA2">
        <w:br/>
      </w:r>
      <w:r w:rsidRPr="00784FA2">
        <w:br/>
      </w:r>
      <w:r w:rsidRPr="00784FA2">
        <w:br/>
      </w:r>
      <w:r w:rsidRPr="00784FA2">
        <w:br/>
      </w:r>
      <w:r w:rsidRPr="00784FA2">
        <w:lastRenderedPageBreak/>
        <w:br/>
      </w:r>
      <w:r w:rsidRPr="00784FA2">
        <w:br/>
        <w:t xml:space="preserve">3. Carpintería Metálica y Vidrios: Cumpliendo con los estándares de seguridad humana y sismorresistencia, todas las divisiones y elementos vidriados en zonas de atención a pacientes se fabricarán en vidrio laminado de seguridad de 6+6 mm, evitando el desprendimiento de fragmentos en caso de rotura. Para aportar calidez al ambiente pediátrico sin comprometer la asepsia, se utilizarán perfiles de aluminio tipo madera en elementos decorativos y listones; esta solución ofrece la estética de la </w:t>
      </w:r>
      <w:proofErr w:type="gramStart"/>
      <w:r w:rsidRPr="00784FA2">
        <w:t>madera</w:t>
      </w:r>
      <w:proofErr w:type="gramEnd"/>
      <w:r w:rsidRPr="00784FA2">
        <w:t xml:space="preserve"> pero con las propiedades inertes, no porosas y lavables del metal, cumpliendo la restricción normativa sobre materiales porosos.</w:t>
      </w:r>
      <w:r w:rsidRPr="00784FA2">
        <w:br/>
      </w:r>
      <w:r w:rsidRPr="00784FA2">
        <w:br/>
      </w:r>
      <w:r w:rsidRPr="00784FA2">
        <w:br/>
      </w:r>
      <w:r w:rsidRPr="00784FA2">
        <w:br/>
        <w:t xml:space="preserve">4. Superficies de Trabajo y Protección: Las estaciones de trabajo y áreas de procedimientos contarán con mesones en acero inoxidable, material que ofrece la máxima resistencia biológica y mecánica. Adicionalmente, se instalarán </w:t>
      </w:r>
      <w:proofErr w:type="spellStart"/>
      <w:r w:rsidRPr="00784FA2">
        <w:t>guardacamillas</w:t>
      </w:r>
      <w:proofErr w:type="spellEnd"/>
      <w:r w:rsidRPr="00784FA2">
        <w:t xml:space="preserve"> en PVC de alto impacto en las rutas de circulación para proteger la infraestructura del tráfico constante de camillas y equipos.</w:t>
      </w:r>
      <w:r w:rsidRPr="00784FA2">
        <w:br/>
      </w:r>
      <w:r w:rsidRPr="00784FA2">
        <w:br/>
      </w:r>
      <w:r w:rsidRPr="00784FA2">
        <w:br/>
        <w:t>Esta especificación técnica asegura que el proyecto no solo cumple a cabalidad con la normativa vigente, sino que ofrece un entorno seguro, moderno y de alta calidad para la atención de la población infantil de Pasto.</w:t>
      </w:r>
    </w:p>
    <w:p w14:paraId="249DBD37" w14:textId="77777777" w:rsidR="000C2ED7" w:rsidRDefault="000C2ED7"/>
    <w:sectPr w:rsidR="000C2ED7" w:rsidSect="00784FA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A2"/>
    <w:rsid w:val="000C2ED7"/>
    <w:rsid w:val="003111A1"/>
    <w:rsid w:val="003C74E8"/>
    <w:rsid w:val="00784FA2"/>
    <w:rsid w:val="0092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9C67"/>
  <w15:chartTrackingRefBased/>
  <w15:docId w15:val="{369A007D-969E-44CA-B978-6B801B10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F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F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F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F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F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F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Santacruz Narvaez</dc:creator>
  <cp:keywords/>
  <dc:description/>
  <cp:lastModifiedBy>Camilo Santacruz Narvaez</cp:lastModifiedBy>
  <cp:revision>1</cp:revision>
  <dcterms:created xsi:type="dcterms:W3CDTF">2025-12-29T03:17:00Z</dcterms:created>
  <dcterms:modified xsi:type="dcterms:W3CDTF">2025-12-29T03:17:00Z</dcterms:modified>
</cp:coreProperties>
</file>