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FDC1A" w14:textId="48552983" w:rsidR="005B6196" w:rsidRPr="005B6196" w:rsidRDefault="005B6196" w:rsidP="005B6196">
      <w:r w:rsidRPr="005B6196">
        <w:rPr>
          <w:sz w:val="48"/>
          <w:szCs w:val="48"/>
        </w:rPr>
        <w:t>Texto lamina 3</w:t>
      </w:r>
      <w:r w:rsidRPr="005B6196">
        <w:br/>
        <w:t xml:space="preserve">CORREDOR HOSPITALARIO PEDIATRICO </w:t>
      </w:r>
    </w:p>
    <w:p w14:paraId="211B9C4D" w14:textId="77777777" w:rsidR="005B6196" w:rsidRPr="005B6196" w:rsidRDefault="005B6196" w:rsidP="005B6196"/>
    <w:p w14:paraId="3B47FB0F" w14:textId="77777777" w:rsidR="005B6196" w:rsidRPr="005B6196" w:rsidRDefault="005B6196" w:rsidP="005B6196">
      <w:proofErr w:type="spellStart"/>
      <w:r w:rsidRPr="005B6196">
        <w:t>Analisis</w:t>
      </w:r>
      <w:proofErr w:type="spellEnd"/>
      <w:r w:rsidRPr="005B6196">
        <w:t xml:space="preserve"> de Norma 1633 de 2025</w:t>
      </w:r>
      <w:r w:rsidRPr="005B6196">
        <w:br/>
      </w:r>
      <w:r w:rsidRPr="005B6196">
        <w:br/>
        <w:t xml:space="preserve">Sistema de cielo </w:t>
      </w:r>
      <w:proofErr w:type="spellStart"/>
      <w:r w:rsidRPr="005B6196">
        <w:t>pergolado</w:t>
      </w:r>
      <w:proofErr w:type="spellEnd"/>
      <w:r w:rsidRPr="005B6196">
        <w:t xml:space="preserve"> curvo con lamas lineales que integra iluminación natural y artificial, mejorando el confort visual y la experiencia espacial del usuario pediátrico.</w:t>
      </w:r>
      <w:r w:rsidRPr="005B6196">
        <w:br/>
      </w:r>
      <w:r w:rsidRPr="005B6196">
        <w:br/>
        <w:t>La iluminación natural cenital, filtrada por las lamas, permite el ingreso controlado de luz diurna, generando sombras suaves y evitando deslumbramientos, conforme a los criterios de confort visual establecidos por la Norma 1633 de 2025.</w:t>
      </w:r>
      <w:r w:rsidRPr="005B6196">
        <w:br/>
      </w:r>
      <w:r w:rsidRPr="005B6196">
        <w:br/>
        <w:t>El sistema se complementa con iluminación técnica hospitalaria mediante luminarias lineales LED (4000K–4500K) integradas entre lamas y un perímetro de iluminación indirecta continua, garantizando una iluminación homogénea, segura y sin contrastes excesivos.</w:t>
      </w:r>
      <w:r w:rsidRPr="005B6196">
        <w:br/>
      </w:r>
      <w:r w:rsidRPr="005B6196">
        <w:br/>
        <w:t>El diseño prioriza higiene, mantenimiento y seguridad, mediante superficies lavables, elementos fijos y soluciones técnicas integradas, aportando a la humanización del espacio hospitalario sin comprometer el cumplimiento normativo.</w:t>
      </w:r>
    </w:p>
    <w:p w14:paraId="48EB38D4" w14:textId="77777777" w:rsidR="000C2ED7" w:rsidRDefault="000C2ED7"/>
    <w:sectPr w:rsidR="000C2ED7" w:rsidSect="005B619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96"/>
    <w:rsid w:val="000C2ED7"/>
    <w:rsid w:val="003111A1"/>
    <w:rsid w:val="003C74E8"/>
    <w:rsid w:val="005B6196"/>
    <w:rsid w:val="0092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D5F4"/>
  <w15:chartTrackingRefBased/>
  <w15:docId w15:val="{C9A83059-C9EF-440C-9EEF-3CA54798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Santacruz Narvaez</dc:creator>
  <cp:keywords/>
  <dc:description/>
  <cp:lastModifiedBy>Camilo Santacruz Narvaez</cp:lastModifiedBy>
  <cp:revision>1</cp:revision>
  <dcterms:created xsi:type="dcterms:W3CDTF">2025-12-29T03:20:00Z</dcterms:created>
  <dcterms:modified xsi:type="dcterms:W3CDTF">2025-12-29T03:20:00Z</dcterms:modified>
</cp:coreProperties>
</file>