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spacing w:after="80"/>
        <w:jc w:val="center"/>
      </w:pPr>
      <w:r>
        <w:rPr>
          <w:rFonts w:ascii="Plus Jakarta Sans" w:cs="Plus Jakarta Sans" w:eastAsia="Plus Jakarta Sans" w:hAnsi="Plus Jakarta Sans"/>
          <w:b/>
          <w:bCs/>
          <w:color w:val="0D9488"/>
          <w:sz w:val="72"/>
          <w:szCs w:val="72"/>
        </w:rPr>
        <w:t xml:space="preserve">KLINIKKU</w:t>
      </w:r>
    </w:p>
    <w:p>
      <w:pPr>
        <w:spacing w:after="320"/>
        <w:jc w:val="center"/>
      </w:pPr>
      <w:r>
        <w:rPr>
          <w:rFonts w:ascii="Plus Jakarta Sans" w:cs="Plus Jakarta Sans" w:eastAsia="Plus Jakarta Sans" w:hAnsi="Plus Jakarta Sans"/>
          <w:i/>
          <w:iCs/>
          <w:color w:val="134E4A"/>
          <w:sz w:val="28"/>
          <w:szCs w:val="28"/>
        </w:rPr>
        <w:t xml:space="preserve">Clinic operations, simplified.</w:t>
      </w:r>
    </w:p>
    <w:p>
      <w:pPr>
        <w:spacing w:after="80"/>
        <w:jc w:val="center"/>
      </w:pPr>
      <w:r>
        <w:rPr>
          <w:rFonts w:ascii="Plus Jakarta Sans" w:cs="Plus Jakarta Sans" w:eastAsia="Plus Jakarta Sans" w:hAnsi="Plus Jakarta Sans"/>
          <w:b/>
          <w:bCs/>
          <w:color w:val="134E4A"/>
          <w:sz w:val="36"/>
          <w:szCs w:val="36"/>
        </w:rPr>
        <w:t xml:space="preserve">Product Requirements Document</w:t>
      </w:r>
    </w:p>
    <w:p>
      <w:pPr>
        <w:spacing w:after="480"/>
        <w:jc w:val="center"/>
      </w:pPr>
      <w:r>
        <w:rPr>
          <w:color w:val="6B7280"/>
          <w:sz w:val="22"/>
          <w:szCs w:val="22"/>
        </w:rPr>
        <w:t xml:space="preserve">Version 1.0  ·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160"/>
              <w:bottom w:type="dxa" w:w="120"/>
              <w:right w:type="dxa" w:w="160"/>
            </w:tcMar>
          </w:tcPr>
          <w:p>
            <w:pPr>
              <w:spacing w:after="80"/>
              <w:jc w:val="center"/>
            </w:pPr>
            <w:r>
              <w:rPr>
                <w:rFonts w:ascii="Plus Jakarta Sans" w:cs="Plus Jakarta Sans" w:eastAsia="Plus Jakarta Sans" w:hAnsi="Plus Jakarta Sans"/>
                <w:b/>
                <w:bCs/>
                <w:color w:val="134E4A"/>
                <w:sz w:val="26"/>
                <w:szCs w:val="26"/>
              </w:rPr>
              <w:t xml:space="preserve">Multi-tenant Clinic Operations Platform</w:t>
            </w:r>
          </w:p>
          <w:p>
            <w:pPr>
              <w:spacing w:after="0"/>
              <w:jc w:val="center"/>
            </w:pPr>
            <w:r>
              <w:rPr>
                <w:color w:val="374151"/>
                <w:sz w:val="22"/>
                <w:szCs w:val="22"/>
              </w:rPr>
              <w:t xml:space="preserve">A production-grade SaaS portfolio project targeting klinik pratama swasta, dokter praktek mandiri, dan klinik utama/spesialis across Indonesia. One codebase. Three distinct clinic experiences. Built for real-world deployment.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shd w:fill="F9FAFB" w:val="clear"/>
            <w:tcMar>
              <w:top w:type="dxa" w:w="80"/>
              <w:left w:type="dxa" w:w="120"/>
              <w:bottom w:type="dxa" w:w="80"/>
              <w:right w:type="dxa" w:w="120"/>
            </w:tcMar>
          </w:tcPr>
          <w:p>
            <w:r>
              <w:rPr>
                <w:b/>
                <w:bCs/>
                <w:color w:val="134E4A"/>
                <w:sz w:val="20"/>
                <w:szCs w:val="20"/>
              </w:rPr>
              <w:t xml:space="preserve">Tech Stack</w:t>
            </w:r>
          </w:p>
        </w:tc>
        <w:tc>
          <w:tcPr>
            <w:tcW w:type="dxa" w:w="6480"/>
            <w:tcMar>
              <w:top w:type="dxa" w:w="80"/>
              <w:left w:type="dxa" w:w="120"/>
              <w:bottom w:type="dxa" w:w="80"/>
              <w:right w:type="dxa" w:w="120"/>
            </w:tcMar>
          </w:tcPr>
          <w:p>
            <w:r>
              <w:rPr>
                <w:color w:val="374151"/>
                <w:sz w:val="20"/>
                <w:szCs w:val="20"/>
              </w:rPr>
              <w:t xml:space="preserve">Laravel 13 · Nuxt 4 · Expo SDK 57 · MySQL 9.7 · Redis 8</w:t>
            </w:r>
          </w:p>
        </w:tc>
      </w:tr>
      <w:tr>
        <w:tc>
          <w:tcPr>
            <w:tcW w:type="dxa" w:w="2880"/>
            <w:shd w:fill="F9FAFB" w:val="clear"/>
            <w:tcMar>
              <w:top w:type="dxa" w:w="80"/>
              <w:left w:type="dxa" w:w="120"/>
              <w:bottom w:type="dxa" w:w="80"/>
              <w:right w:type="dxa" w:w="120"/>
            </w:tcMar>
          </w:tcPr>
          <w:p>
            <w:r>
              <w:rPr>
                <w:b/>
                <w:bCs/>
                <w:color w:val="134E4A"/>
                <w:sz w:val="20"/>
                <w:szCs w:val="20"/>
              </w:rPr>
              <w:t xml:space="preserve">Author</w:t>
            </w:r>
          </w:p>
        </w:tc>
        <w:tc>
          <w:tcPr>
            <w:tcW w:type="dxa" w:w="6480"/>
            <w:tcMar>
              <w:top w:type="dxa" w:w="80"/>
              <w:left w:type="dxa" w:w="120"/>
              <w:bottom w:type="dxa" w:w="80"/>
              <w:right w:type="dxa" w:w="120"/>
            </w:tcMar>
          </w:tcPr>
          <w:p>
            <w:r>
              <w:rPr>
                <w:color w:val="374151"/>
                <w:sz w:val="20"/>
                <w:szCs w:val="20"/>
              </w:rPr>
              <w:t xml:space="preserve">Chris — Fullstack Developer, Universitas Hasanuddin</w:t>
            </w:r>
          </w:p>
        </w:tc>
      </w:tr>
      <w:tr>
        <w:tc>
          <w:tcPr>
            <w:tcW w:type="dxa" w:w="2880"/>
            <w:shd w:fill="F9FAFB" w:val="clear"/>
            <w:tcMar>
              <w:top w:type="dxa" w:w="80"/>
              <w:left w:type="dxa" w:w="120"/>
              <w:bottom w:type="dxa" w:w="80"/>
              <w:right w:type="dxa" w:w="120"/>
            </w:tcMar>
          </w:tcPr>
          <w:p>
            <w:r>
              <w:rPr>
                <w:b/>
                <w:bCs/>
                <w:color w:val="134E4A"/>
                <w:sz w:val="20"/>
                <w:szCs w:val="20"/>
              </w:rPr>
              <w:t xml:space="preserve">Status</w:t>
            </w:r>
          </w:p>
        </w:tc>
        <w:tc>
          <w:tcPr>
            <w:tcW w:type="dxa" w:w="6480"/>
            <w:tcMar>
              <w:top w:type="dxa" w:w="80"/>
              <w:left w:type="dxa" w:w="120"/>
              <w:bottom w:type="dxa" w:w="80"/>
              <w:right w:type="dxa" w:w="120"/>
            </w:tcMar>
          </w:tcPr>
          <w:p>
            <w:r>
              <w:rPr>
                <w:color w:val="374151"/>
                <w:sz w:val="20"/>
                <w:szCs w:val="20"/>
              </w:rPr>
              <w:t xml:space="preserve">Phase 1 Complete — Phase 2 In Progress</w:t>
            </w:r>
          </w:p>
        </w:tc>
      </w:tr>
      <w:tr>
        <w:tc>
          <w:tcPr>
            <w:tcW w:type="dxa" w:w="2880"/>
            <w:shd w:fill="F9FAFB" w:val="clear"/>
            <w:tcMar>
              <w:top w:type="dxa" w:w="80"/>
              <w:left w:type="dxa" w:w="120"/>
              <w:bottom w:type="dxa" w:w="80"/>
              <w:right w:type="dxa" w:w="120"/>
            </w:tcMar>
          </w:tcPr>
          <w:p>
            <w:r>
              <w:rPr>
                <w:b/>
                <w:bCs/>
                <w:color w:val="134E4A"/>
                <w:sz w:val="20"/>
                <w:szCs w:val="20"/>
              </w:rPr>
              <w:t xml:space="preserve">Repository</w:t>
            </w:r>
          </w:p>
        </w:tc>
        <w:tc>
          <w:tcPr>
            <w:tcW w:type="dxa" w:w="6480"/>
            <w:tcMar>
              <w:top w:type="dxa" w:w="80"/>
              <w:left w:type="dxa" w:w="120"/>
              <w:bottom w:type="dxa" w:w="80"/>
              <w:right w:type="dxa" w:w="120"/>
            </w:tcMar>
          </w:tcPr>
          <w:p>
            <w:r>
              <w:rPr>
                <w:color w:val="374151"/>
                <w:sz w:val="20"/>
                <w:szCs w:val="20"/>
              </w:rPr>
              <w:t xml:space="preserve">github.com/ChrisSlat0910/klinikku (Public)</w:t>
            </w:r>
          </w:p>
        </w:tc>
      </w:tr>
    </w:tbl>
    <w:p>
      <w:r>
        <w:br w:type="page"/>
      </w:r>
    </w:p>
    <w:p>
      <w:pPr>
        <w:pStyle w:val="Heading1"/>
        <w:pBdr>
          <w:bottom w:val="single" w:color="0D9488" w:sz="4"/>
        </w:pBdr>
        <w:spacing w:after="160" w:before="480"/>
      </w:pPr>
      <w:r>
        <w:t xml:space="preserve">1. Problem Statement</w:t>
      </w:r>
    </w:p>
    <w:p>
      <w:pPr>
        <w:pStyle w:val="Heading2"/>
        <w:spacing w:after="120" w:before="360"/>
      </w:pPr>
      <w:r>
        <w:t xml:space="preserve">1.1 The Pain — What Is Broken Today</w:t>
      </w:r>
    </w:p>
    <w:p>
      <w:pPr>
        <w:spacing w:after="120"/>
      </w:pPr>
      <w:r>
        <w:rPr>
          <w:color w:val="374151"/>
          <w:sz w:val="22"/>
          <w:szCs w:val="22"/>
        </w:rPr>
        <w:t xml:space="preserve">Indonesian private clinics — klinik pratama, dokter praktek mandiri, and specialist clinics — operate in conditions that would be unacceptable in any modern service industry. Patient queues are managed with paper number tickets and whiteboards. Medical records (RME) are written by hand in spiral notebooks. When a patient approaches the front, a nurse manually types a WhatsApp message to notify them. There is no system. There is only effort.</w:t>
      </w:r>
    </w:p>
    <w:p>
      <w:pPr>
        <w:spacing w:after="120"/>
      </w:pPr>
      <w:r>
        <w:rPr>
          <w:color w:val="374151"/>
          <w:sz w:val="22"/>
          <w:szCs w:val="22"/>
        </w:rPr>
        <w:t xml:space="preserve">The consequences are measurable: a doctor seeing 40 patients per day loses 20+ minutes to re-entering returning patient data that already exists somewhere in a notebook. Patients leave without knowing when they will be called. BPJS reporting — mandatory for every partnered clinic — takes 2–3 days of manual data aggregation every month. This is not a technology adoption problem. This is an infrastructure gap.</w:t>
      </w:r>
    </w:p>
    <w:p>
      <w:pPr>
        <w:pStyle w:val="Heading2"/>
        <w:spacing w:after="120" w:before="360"/>
      </w:pPr>
      <w:r>
        <w:t xml:space="preserve">1.2 The Market Gap — Why Now</w:t>
      </w:r>
    </w:p>
    <w:p>
      <w:pPr>
        <w:spacing w:after="120"/>
      </w:pPr>
      <w:r>
        <w:rPr>
          <w:color w:val="374151"/>
          <w:sz w:val="22"/>
          <w:szCs w:val="22"/>
        </w:rPr>
        <w:t xml:space="preserve">Enterprise EMR solutions such as Medinfo and Assist.id exist, but they are priced and scoped for hospital-scale operations. A klinik pratama with 2–3 doctors and one admin cannot justify the implementation cost, training time, or monthly licensing fees. At the other end of the spectrum, simpler tools handle one piece of the puzzle — a queue app, or an invoicing tool — but never the whole workflow.</w:t>
      </w:r>
    </w:p>
    <w:p>
      <w:pPr>
        <w:spacing w:after="120"/>
      </w:pPr>
      <w:r>
        <w:rPr>
          <w:color w:val="374151"/>
          <w:sz w:val="22"/>
          <w:szCs w:val="22"/>
        </w:rPr>
        <w:t xml:space="preserve">There is no affordable, integrated solution that covers digital queuing + RME + automated WhatsApp notification + patient portable health records in a single platform that a clinic can deploy and operate without dedicated IT support. Klinikku fills this gap: full clinic operations in one product, priced for the small-clinic segment, designed to be operational in under 30 minutes.</w:t>
      </w:r>
    </w:p>
    <w:p>
      <w:pPr>
        <w:pStyle w:val="Heading2"/>
        <w:spacing w:after="120" w:before="360"/>
      </w:pPr>
      <w:r>
        <w:t xml:space="preserve">1.3 The Regulatory Tailwind — Why Compliance Is No Longer Optional</w:t>
      </w:r>
    </w:p>
    <w:p>
      <w:pPr>
        <w:spacing w:after="120"/>
      </w:pPr>
      <w:r>
        <w:rPr>
          <w:color w:val="374151"/>
          <w:sz w:val="22"/>
          <w:szCs w:val="22"/>
        </w:rPr>
        <w:t xml:space="preserve">Permenkes No. 24 Tahun 2022 mandates electronic medical records (RME) for all healthcare facilities in Indonesia, with enforcement effective December 2023. Clinics not yet compliant face regulatory risk from the Ministry of Health. This shifts digital clinic management from a "nice to have" to a legal requirement.</w:t>
      </w:r>
    </w:p>
    <w:p>
      <w:pPr>
        <w:spacing w:after="120"/>
      </w:pPr>
      <w:r>
        <w:rPr>
          <w:color w:val="374151"/>
          <w:sz w:val="22"/>
          <w:szCs w:val="22"/>
        </w:rPr>
        <w:t xml:space="preserve">Klinikku is compliant by design — not as a retrofit. Every RME module is built against Pasal 3 &amp; 14 field requirements: NIK as universal identifier, SOAP format, ICD-10 coded diagnoses, e-prescribing, and rujukan digital aligned to the 2026 competency-based referral regulation. Compliance is not a feature — it is the foundation.</w:t>
      </w:r>
    </w:p>
    <w:p>
      <w:r>
        <w:br w:type="page"/>
      </w:r>
    </w:p>
    <w:p>
      <w:pPr>
        <w:pStyle w:val="Heading1"/>
        <w:pBdr>
          <w:bottom w:val="single" w:color="0D9488" w:sz="4"/>
        </w:pBdr>
        <w:spacing w:after="160" w:before="480"/>
      </w:pPr>
      <w:r>
        <w:t xml:space="preserve">2.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shd w:fill="F9FAFB" w:val="clear"/>
            <w:tcMar>
              <w:top w:type="dxa" w:w="80"/>
              <w:left w:type="dxa" w:w="120"/>
              <w:bottom w:type="dxa" w:w="80"/>
              <w:right w:type="dxa" w:w="120"/>
            </w:tcMar>
          </w:tcPr>
          <w:p>
            <w:r>
              <w:rPr>
                <w:b/>
                <w:bCs/>
                <w:color w:val="134E4A"/>
                <w:sz w:val="20"/>
                <w:szCs w:val="20"/>
              </w:rPr>
              <w:t xml:space="preserve">Product Name</w:t>
            </w:r>
          </w:p>
        </w:tc>
        <w:tc>
          <w:tcPr>
            <w:tcW w:type="dxa" w:w="6480"/>
            <w:tcMar>
              <w:top w:type="dxa" w:w="80"/>
              <w:left w:type="dxa" w:w="120"/>
              <w:bottom w:type="dxa" w:w="80"/>
              <w:right w:type="dxa" w:w="120"/>
            </w:tcMar>
          </w:tcPr>
          <w:p>
            <w:r>
              <w:rPr>
                <w:color w:val="374151"/>
                <w:sz w:val="20"/>
                <w:szCs w:val="20"/>
              </w:rPr>
              <w:t xml:space="preserve">Klinikku</w:t>
            </w:r>
          </w:p>
        </w:tc>
      </w:tr>
      <w:tr>
        <w:tc>
          <w:tcPr>
            <w:tcW w:type="dxa" w:w="2880"/>
            <w:shd w:fill="F9FAFB" w:val="clear"/>
            <w:tcMar>
              <w:top w:type="dxa" w:w="80"/>
              <w:left w:type="dxa" w:w="120"/>
              <w:bottom w:type="dxa" w:w="80"/>
              <w:right w:type="dxa" w:w="120"/>
            </w:tcMar>
          </w:tcPr>
          <w:p>
            <w:r>
              <w:rPr>
                <w:b/>
                <w:bCs/>
                <w:color w:val="134E4A"/>
                <w:sz w:val="20"/>
                <w:szCs w:val="20"/>
              </w:rPr>
              <w:t xml:space="preserve">Tagline</w:t>
            </w:r>
          </w:p>
        </w:tc>
        <w:tc>
          <w:tcPr>
            <w:tcW w:type="dxa" w:w="6480"/>
            <w:tcMar>
              <w:top w:type="dxa" w:w="80"/>
              <w:left w:type="dxa" w:w="120"/>
              <w:bottom w:type="dxa" w:w="80"/>
              <w:right w:type="dxa" w:w="120"/>
            </w:tcMar>
          </w:tcPr>
          <w:p>
            <w:r>
              <w:rPr>
                <w:color w:val="374151"/>
                <w:sz w:val="20"/>
                <w:szCs w:val="20"/>
              </w:rPr>
              <w:t xml:space="preserve">"Clinic operations, simplified."</w:t>
            </w:r>
          </w:p>
        </w:tc>
      </w:tr>
      <w:tr>
        <w:tc>
          <w:tcPr>
            <w:tcW w:type="dxa" w:w="2880"/>
            <w:shd w:fill="F9FAFB" w:val="clear"/>
            <w:tcMar>
              <w:top w:type="dxa" w:w="80"/>
              <w:left w:type="dxa" w:w="120"/>
              <w:bottom w:type="dxa" w:w="80"/>
              <w:right w:type="dxa" w:w="120"/>
            </w:tcMar>
          </w:tcPr>
          <w:p>
            <w:r>
              <w:rPr>
                <w:b/>
                <w:bCs/>
                <w:color w:val="134E4A"/>
                <w:sz w:val="20"/>
                <w:szCs w:val="20"/>
              </w:rPr>
              <w:t xml:space="preserve">Category</w:t>
            </w:r>
          </w:p>
        </w:tc>
        <w:tc>
          <w:tcPr>
            <w:tcW w:type="dxa" w:w="6480"/>
            <w:tcMar>
              <w:top w:type="dxa" w:w="80"/>
              <w:left w:type="dxa" w:w="120"/>
              <w:bottom w:type="dxa" w:w="80"/>
              <w:right w:type="dxa" w:w="120"/>
            </w:tcMar>
          </w:tcPr>
          <w:p>
            <w:r>
              <w:rPr>
                <w:color w:val="374151"/>
                <w:sz w:val="20"/>
                <w:szCs w:val="20"/>
              </w:rPr>
              <w:t xml:space="preserve">Multi-tenant SaaS — Healthcare Operations</w:t>
            </w:r>
          </w:p>
        </w:tc>
      </w:tr>
      <w:tr>
        <w:tc>
          <w:tcPr>
            <w:tcW w:type="dxa" w:w="2880"/>
            <w:shd w:fill="F9FAFB" w:val="clear"/>
            <w:tcMar>
              <w:top w:type="dxa" w:w="80"/>
              <w:left w:type="dxa" w:w="120"/>
              <w:bottom w:type="dxa" w:w="80"/>
              <w:right w:type="dxa" w:w="120"/>
            </w:tcMar>
          </w:tcPr>
          <w:p>
            <w:r>
              <w:rPr>
                <w:b/>
                <w:bCs/>
                <w:color w:val="134E4A"/>
                <w:sz w:val="20"/>
                <w:szCs w:val="20"/>
              </w:rPr>
              <w:t xml:space="preserve">Target Geography</w:t>
            </w:r>
          </w:p>
        </w:tc>
        <w:tc>
          <w:tcPr>
            <w:tcW w:type="dxa" w:w="6480"/>
            <w:tcMar>
              <w:top w:type="dxa" w:w="80"/>
              <w:left w:type="dxa" w:w="120"/>
              <w:bottom w:type="dxa" w:w="80"/>
              <w:right w:type="dxa" w:w="120"/>
            </w:tcMar>
          </w:tcPr>
          <w:p>
            <w:r>
              <w:rPr>
                <w:color w:val="374151"/>
                <w:sz w:val="20"/>
                <w:szCs w:val="20"/>
              </w:rPr>
              <w:t xml:space="preserve">Indonesia (primary market)</w:t>
            </w:r>
          </w:p>
        </w:tc>
      </w:tr>
      <w:tr>
        <w:tc>
          <w:tcPr>
            <w:tcW w:type="dxa" w:w="2880"/>
            <w:shd w:fill="F9FAFB" w:val="clear"/>
            <w:tcMar>
              <w:top w:type="dxa" w:w="80"/>
              <w:left w:type="dxa" w:w="120"/>
              <w:bottom w:type="dxa" w:w="80"/>
              <w:right w:type="dxa" w:w="120"/>
            </w:tcMar>
          </w:tcPr>
          <w:p>
            <w:r>
              <w:rPr>
                <w:b/>
                <w:bCs/>
                <w:color w:val="134E4A"/>
                <w:sz w:val="20"/>
                <w:szCs w:val="20"/>
              </w:rPr>
              <w:t xml:space="preserve">Target Users</w:t>
            </w:r>
          </w:p>
        </w:tc>
        <w:tc>
          <w:tcPr>
            <w:tcW w:type="dxa" w:w="6480"/>
            <w:tcMar>
              <w:top w:type="dxa" w:w="80"/>
              <w:left w:type="dxa" w:w="120"/>
              <w:bottom w:type="dxa" w:w="80"/>
              <w:right w:type="dxa" w:w="120"/>
            </w:tcMar>
          </w:tcPr>
          <w:p>
            <w:r>
              <w:rPr>
                <w:color w:val="374151"/>
                <w:sz w:val="20"/>
                <w:szCs w:val="20"/>
              </w:rPr>
              <w:t xml:space="preserve">Klinik pratama swasta, dokter praktek mandiri, klinik utama/spesialis</w:t>
            </w:r>
          </w:p>
        </w:tc>
      </w:tr>
      <w:tr>
        <w:tc>
          <w:tcPr>
            <w:tcW w:type="dxa" w:w="2880"/>
            <w:shd w:fill="F9FAFB" w:val="clear"/>
            <w:tcMar>
              <w:top w:type="dxa" w:w="80"/>
              <w:left w:type="dxa" w:w="120"/>
              <w:bottom w:type="dxa" w:w="80"/>
              <w:right w:type="dxa" w:w="120"/>
            </w:tcMar>
          </w:tcPr>
          <w:p>
            <w:r>
              <w:rPr>
                <w:b/>
                <w:bCs/>
                <w:color w:val="134E4A"/>
                <w:sz w:val="20"/>
                <w:szCs w:val="20"/>
              </w:rPr>
              <w:t xml:space="preserve">Architecture</w:t>
            </w:r>
          </w:p>
        </w:tc>
        <w:tc>
          <w:tcPr>
            <w:tcW w:type="dxa" w:w="6480"/>
            <w:tcMar>
              <w:top w:type="dxa" w:w="80"/>
              <w:left w:type="dxa" w:w="120"/>
              <w:bottom w:type="dxa" w:w="80"/>
              <w:right w:type="dxa" w:w="120"/>
            </w:tcMar>
          </w:tcPr>
          <w:p>
            <w:r>
              <w:rPr>
                <w:color w:val="374151"/>
                <w:sz w:val="20"/>
                <w:szCs w:val="20"/>
              </w:rPr>
              <w:t xml:space="preserve">Single codebase · Single database · Three distinct product experiences via feature flags</w:t>
            </w:r>
          </w:p>
        </w:tc>
      </w:tr>
      <w:tr>
        <w:tc>
          <w:tcPr>
            <w:tcW w:type="dxa" w:w="2880"/>
            <w:shd w:fill="F9FAFB" w:val="clear"/>
            <w:tcMar>
              <w:top w:type="dxa" w:w="80"/>
              <w:left w:type="dxa" w:w="120"/>
              <w:bottom w:type="dxa" w:w="80"/>
              <w:right w:type="dxa" w:w="120"/>
            </w:tcMar>
          </w:tcPr>
          <w:p>
            <w:r>
              <w:rPr>
                <w:b/>
                <w:bCs/>
                <w:color w:val="134E4A"/>
                <w:sz w:val="20"/>
                <w:szCs w:val="20"/>
              </w:rPr>
              <w:t xml:space="preserve">Platforms</w:t>
            </w:r>
          </w:p>
        </w:tc>
        <w:tc>
          <w:tcPr>
            <w:tcW w:type="dxa" w:w="6480"/>
            <w:tcMar>
              <w:top w:type="dxa" w:w="80"/>
              <w:left w:type="dxa" w:w="120"/>
              <w:bottom w:type="dxa" w:w="80"/>
              <w:right w:type="dxa" w:w="120"/>
            </w:tcMar>
          </w:tcPr>
          <w:p>
            <w:r>
              <w:rPr>
                <w:color w:val="374151"/>
                <w:sz w:val="20"/>
                <w:szCs w:val="20"/>
              </w:rPr>
              <w:t xml:space="preserve">Web (Nuxt 4 SSR) · Mobile (React Native / Expo SDK 57)</w:t>
            </w:r>
          </w:p>
        </w:tc>
      </w:tr>
      <w:tr>
        <w:tc>
          <w:tcPr>
            <w:tcW w:type="dxa" w:w="2880"/>
            <w:shd w:fill="F9FAFB" w:val="clear"/>
            <w:tcMar>
              <w:top w:type="dxa" w:w="80"/>
              <w:left w:type="dxa" w:w="120"/>
              <w:bottom w:type="dxa" w:w="80"/>
              <w:right w:type="dxa" w:w="120"/>
            </w:tcMar>
          </w:tcPr>
          <w:p>
            <w:r>
              <w:rPr>
                <w:b/>
                <w:bCs/>
                <w:color w:val="134E4A"/>
                <w:sz w:val="20"/>
                <w:szCs w:val="20"/>
              </w:rPr>
              <w:t xml:space="preserve">Deployment</w:t>
            </w:r>
          </w:p>
        </w:tc>
        <w:tc>
          <w:tcPr>
            <w:tcW w:type="dxa" w:w="6480"/>
            <w:tcMar>
              <w:top w:type="dxa" w:w="80"/>
              <w:left w:type="dxa" w:w="120"/>
              <w:bottom w:type="dxa" w:w="80"/>
              <w:right w:type="dxa" w:w="120"/>
            </w:tcMar>
          </w:tcPr>
          <w:p>
            <w:r>
              <w:rPr>
                <w:color w:val="374151"/>
                <w:sz w:val="20"/>
                <w:szCs w:val="20"/>
              </w:rPr>
              <w:t xml:space="preserve">Cloud — Vercel + Render + PlanetScale + Upstash Redis</w:t>
            </w:r>
          </w:p>
        </w:tc>
      </w:tr>
      <w:tr>
        <w:tc>
          <w:tcPr>
            <w:tcW w:type="dxa" w:w="2880"/>
            <w:shd w:fill="F9FAFB" w:val="clear"/>
            <w:tcMar>
              <w:top w:type="dxa" w:w="80"/>
              <w:left w:type="dxa" w:w="120"/>
              <w:bottom w:type="dxa" w:w="80"/>
              <w:right w:type="dxa" w:w="120"/>
            </w:tcMar>
          </w:tcPr>
          <w:p>
            <w:r>
              <w:rPr>
                <w:b/>
                <w:bCs/>
                <w:color w:val="134E4A"/>
                <w:sz w:val="20"/>
                <w:szCs w:val="20"/>
              </w:rPr>
              <w:t xml:space="preserve">Version</w:t>
            </w:r>
          </w:p>
        </w:tc>
        <w:tc>
          <w:tcPr>
            <w:tcW w:type="dxa" w:w="6480"/>
            <w:tcMar>
              <w:top w:type="dxa" w:w="80"/>
              <w:left w:type="dxa" w:w="120"/>
              <w:bottom w:type="dxa" w:w="80"/>
              <w:right w:type="dxa" w:w="120"/>
            </w:tcMar>
          </w:tcPr>
          <w:p>
            <w:r>
              <w:rPr>
                <w:color w:val="374151"/>
                <w:sz w:val="20"/>
                <w:szCs w:val="20"/>
              </w:rPr>
              <w:t xml:space="preserve">v1.0 — Portfolio Demo (live, seeded demo data)</w:t>
            </w:r>
          </w:p>
        </w:tc>
      </w:tr>
    </w:tbl>
    <w:p>
      <w:pPr>
        <w:spacing w:after="80"/>
      </w:pPr>
    </w:p>
    <w:p>
      <w:pPr>
        <w:pStyle w:val="Heading2"/>
        <w:spacing w:after="120" w:before="360"/>
      </w:pPr>
      <w:r>
        <w:t xml:space="preserve">2.1 Clinic Types</w:t>
      </w:r>
    </w:p>
    <w:p>
      <w:pPr>
        <w:spacing w:after="120"/>
      </w:pPr>
      <w:r>
        <w:rPr>
          <w:color w:val="374151"/>
          <w:sz w:val="22"/>
          <w:szCs w:val="22"/>
        </w:rPr>
        <w:t xml:space="preserve">Klinikku auto-configures itself at registration time based on the clinic type selected. One codebase serves three meaningfully different product experiences: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D9488" w:val="clear"/>
            <w:tcMar>
              <w:top w:type="dxa" w:w="80"/>
              <w:left w:type="dxa" w:w="120"/>
              <w:bottom w:type="dxa" w:w="80"/>
              <w:right w:type="dxa" w:w="120"/>
            </w:tcMar>
          </w:tcPr>
          <w:p>
            <w:r>
              <w:rPr>
                <w:b/>
                <w:bCs/>
                <w:color w:val="FFFFFF"/>
                <w:sz w:val="20"/>
                <w:szCs w:val="20"/>
              </w:rPr>
              <w:t xml:space="preserve">Type</w:t>
            </w:r>
          </w:p>
        </w:tc>
        <w:tc>
          <w:tcPr>
            <w:tcW w:type="dxa" w:w="2500"/>
            <w:shd w:fill="0D9488" w:val="clear"/>
            <w:tcMar>
              <w:top w:type="dxa" w:w="80"/>
              <w:left w:type="dxa" w:w="120"/>
              <w:bottom w:type="dxa" w:w="80"/>
              <w:right w:type="dxa" w:w="120"/>
            </w:tcMar>
          </w:tcPr>
          <w:p>
            <w:r>
              <w:rPr>
                <w:b/>
                <w:bCs/>
                <w:color w:val="FFFFFF"/>
                <w:sz w:val="20"/>
                <w:szCs w:val="20"/>
              </w:rPr>
              <w:t xml:space="preserve">Target</w:t>
            </w:r>
          </w:p>
        </w:tc>
        <w:tc>
          <w:tcPr>
            <w:tcW w:type="dxa" w:w="4660"/>
            <w:shd w:fill="0D9488" w:val="clear"/>
            <w:tcMar>
              <w:top w:type="dxa" w:w="80"/>
              <w:left w:type="dxa" w:w="120"/>
              <w:bottom w:type="dxa" w:w="80"/>
              <w:right w:type="dxa" w:w="120"/>
            </w:tcMar>
          </w:tcPr>
          <w:p>
            <w:r>
              <w:rPr>
                <w:b/>
                <w:bCs/>
                <w:color w:val="FFFFFF"/>
                <w:sz w:val="20"/>
                <w:szCs w:val="20"/>
              </w:rPr>
              <w:t xml:space="preserve">Primary Differentiator</w:t>
            </w:r>
          </w:p>
        </w:tc>
      </w:tr>
      <w:tr>
        <w:tc>
          <w:tcPr>
            <w:tcW w:type="dxa" w:w="2200"/>
            <w:shd w:fill="F0FDFA" w:val="clear"/>
            <w:tcMar>
              <w:top w:type="dxa" w:w="80"/>
              <w:left w:type="dxa" w:w="120"/>
              <w:bottom w:type="dxa" w:w="80"/>
              <w:right w:type="dxa" w:w="120"/>
            </w:tcMar>
          </w:tcPr>
          <w:p>
            <w:r>
              <w:rPr>
                <w:b/>
                <w:bCs/>
                <w:color w:val="134E4A"/>
                <w:sz w:val="20"/>
                <w:szCs w:val="20"/>
              </w:rPr>
              <w:t xml:space="preserve">Type 1 — Praktek Mandiri</w:t>
            </w:r>
          </w:p>
        </w:tc>
        <w:tc>
          <w:tcPr>
            <w:tcW w:type="dxa" w:w="2500"/>
            <w:tcMar>
              <w:top w:type="dxa" w:w="80"/>
              <w:left w:type="dxa" w:w="120"/>
              <w:bottom w:type="dxa" w:w="80"/>
              <w:right w:type="dxa" w:w="120"/>
            </w:tcMar>
          </w:tcPr>
          <w:p>
            <w:r>
              <w:rPr>
                <w:color w:val="374151"/>
                <w:sz w:val="20"/>
                <w:szCs w:val="20"/>
              </w:rPr>
              <w:t xml:space="preserve">Solo doctor, single room, walk-in</w:t>
            </w:r>
          </w:p>
        </w:tc>
        <w:tc>
          <w:tcPr>
            <w:tcW w:type="dxa" w:w="4660"/>
            <w:tcMar>
              <w:top w:type="dxa" w:w="80"/>
              <w:left w:type="dxa" w:w="120"/>
              <w:bottom w:type="dxa" w:w="80"/>
              <w:right w:type="dxa" w:w="120"/>
            </w:tcMar>
          </w:tcPr>
          <w:p>
            <w:r>
              <w:rPr>
                <w:color w:val="374151"/>
                <w:sz w:val="20"/>
                <w:szCs w:val="20"/>
              </w:rPr>
              <w:t xml:space="preserve">Owner and doctor can hold all roles simultaneously. Maximum simplicity.</w:t>
            </w:r>
          </w:p>
        </w:tc>
      </w:tr>
      <w:tr>
        <w:tc>
          <w:tcPr>
            <w:tcW w:type="dxa" w:w="2200"/>
            <w:shd w:fill="F0FDFA" w:val="clear"/>
            <w:tcMar>
              <w:top w:type="dxa" w:w="80"/>
              <w:left w:type="dxa" w:w="120"/>
              <w:bottom w:type="dxa" w:w="80"/>
              <w:right w:type="dxa" w:w="120"/>
            </w:tcMar>
          </w:tcPr>
          <w:p>
            <w:r>
              <w:rPr>
                <w:b/>
                <w:bCs/>
                <w:color w:val="134E4A"/>
                <w:sz w:val="20"/>
                <w:szCs w:val="20"/>
              </w:rPr>
              <w:t xml:space="preserve">Type 2 — Klinik Pratama</w:t>
            </w:r>
          </w:p>
        </w:tc>
        <w:tc>
          <w:tcPr>
            <w:tcW w:type="dxa" w:w="2500"/>
            <w:tcMar>
              <w:top w:type="dxa" w:w="80"/>
              <w:left w:type="dxa" w:w="120"/>
              <w:bottom w:type="dxa" w:w="80"/>
              <w:right w:type="dxa" w:w="120"/>
            </w:tcMar>
          </w:tcPr>
          <w:p>
            <w:r>
              <w:rPr>
                <w:color w:val="374151"/>
                <w:sz w:val="20"/>
                <w:szCs w:val="20"/>
              </w:rPr>
              <w:t xml:space="preserve">2–3+ doctors, BPJS partner (PRIMARY)</w:t>
            </w:r>
          </w:p>
        </w:tc>
        <w:tc>
          <w:tcPr>
            <w:tcW w:type="dxa" w:w="4660"/>
            <w:tcMar>
              <w:top w:type="dxa" w:w="80"/>
              <w:left w:type="dxa" w:w="120"/>
              <w:bottom w:type="dxa" w:w="80"/>
              <w:right w:type="dxa" w:w="120"/>
            </w:tcMar>
          </w:tcPr>
          <w:p>
            <w:r>
              <w:rPr>
                <w:color w:val="374151"/>
                <w:sz w:val="20"/>
                <w:szCs w:val="20"/>
              </w:rPr>
              <w:t xml:space="preserve">Per-doctor queue management, mandatory BPJS reporting, full staff role separation.</w:t>
            </w:r>
          </w:p>
        </w:tc>
      </w:tr>
      <w:tr>
        <w:tc>
          <w:tcPr>
            <w:tcW w:type="dxa" w:w="2200"/>
            <w:shd w:fill="F0FDFA" w:val="clear"/>
            <w:tcMar>
              <w:top w:type="dxa" w:w="80"/>
              <w:left w:type="dxa" w:w="120"/>
              <w:bottom w:type="dxa" w:w="80"/>
              <w:right w:type="dxa" w:w="120"/>
            </w:tcMar>
          </w:tcPr>
          <w:p>
            <w:r>
              <w:rPr>
                <w:b/>
                <w:bCs/>
                <w:color w:val="134E4A"/>
                <w:sz w:val="20"/>
                <w:szCs w:val="20"/>
              </w:rPr>
              <w:t xml:space="preserve">Type 3 — Klinik Utama / Spesialis</w:t>
            </w:r>
          </w:p>
        </w:tc>
        <w:tc>
          <w:tcPr>
            <w:tcW w:type="dxa" w:w="2500"/>
            <w:tcMar>
              <w:top w:type="dxa" w:w="80"/>
              <w:left w:type="dxa" w:w="120"/>
              <w:bottom w:type="dxa" w:w="80"/>
              <w:right w:type="dxa" w:w="120"/>
            </w:tcMar>
          </w:tcPr>
          <w:p>
            <w:r>
              <w:rPr>
                <w:color w:val="374151"/>
                <w:sz w:val="20"/>
                <w:szCs w:val="20"/>
              </w:rPr>
              <w:t xml:space="preserve">Multi-specialist, appointment-based</w:t>
            </w:r>
          </w:p>
        </w:tc>
        <w:tc>
          <w:tcPr>
            <w:tcW w:type="dxa" w:w="4660"/>
            <w:tcMar>
              <w:top w:type="dxa" w:w="80"/>
              <w:left w:type="dxa" w:w="120"/>
              <w:bottom w:type="dxa" w:w="80"/>
              <w:right w:type="dxa" w:w="120"/>
            </w:tcMar>
          </w:tcPr>
          <w:p>
            <w:r>
              <w:rPr>
                <w:color w:val="374151"/>
                <w:sz w:val="20"/>
                <w:szCs w:val="20"/>
              </w:rPr>
              <w:t xml:space="preserve">Appointment-first scheduling, multi-poli, advanced tindakan medis, mandatory insurance.</w:t>
            </w:r>
          </w:p>
        </w:tc>
      </w:tr>
    </w:tbl>
    <w:p>
      <w:r>
        <w:br w:type="page"/>
      </w:r>
    </w:p>
    <w:p>
      <w:pPr>
        <w:pStyle w:val="Heading1"/>
        <w:pBdr>
          <w:bottom w:val="single" w:color="0D9488" w:sz="4"/>
        </w:pBdr>
        <w:spacing w:after="160" w:before="480"/>
      </w:pPr>
      <w:r>
        <w:t xml:space="preserve">3. User Personas</w:t>
      </w:r>
    </w:p>
    <w:p>
      <w:pPr>
        <w:spacing w:after="120"/>
      </w:pPr>
      <w:r>
        <w:rPr>
          <w:color w:val="374151"/>
          <w:sz w:val="22"/>
          <w:szCs w:val="22"/>
        </w:rPr>
        <w:t xml:space="preserve">Four named personas cover the full spectrum of Klinikku users. Each persona is grounded in a realistic Indonesian clinic context and framed using Jobs-to-be-Done (JTBD) — what outcome they are hiring Klinikku to produce.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160"/>
              <w:bottom w:type="dxa" w:w="120"/>
              <w:right w:type="dxa" w:w="160"/>
            </w:tcMar>
          </w:tcPr>
          <w:p>
            <w:pPr>
              <w:spacing w:after="60"/>
            </w:pPr>
            <w:r>
              <w:rPr>
                <w:rFonts w:ascii="Plus Jakarta Sans" w:cs="Plus Jakarta Sans" w:eastAsia="Plus Jakarta Sans" w:hAnsi="Plus Jakarta Sans"/>
                <w:b/>
                <w:bCs/>
                <w:color w:val="134E4A"/>
                <w:sz w:val="24"/>
                <w:szCs w:val="24"/>
              </w:rPr>
              <w:t xml:space="preserve">PERSONA 1  ·  dr. Sari Wijaya</w:t>
            </w:r>
          </w:p>
          <w:p>
            <w:pPr>
              <w:spacing w:after="120"/>
            </w:pPr>
            <w:r>
              <w:rPr>
                <w:i/>
                <w:iCs/>
                <w:color w:val="6B7280"/>
                <w:sz w:val="20"/>
                <w:szCs w:val="20"/>
              </w:rPr>
              <w:t xml:space="preserve">Dokter Umum — Klinik Pratama, Makassar, 3 dokter</w:t>
            </w:r>
          </w:p>
          <w:p>
            <w:r>
              <w:rPr>
                <w:b/>
                <w:bCs/>
                <w:color w:val="0D9488"/>
                <w:sz w:val="22"/>
                <w:szCs w:val="22"/>
              </w:rPr>
              <w:t xml:space="preserve">Context</w:t>
            </w:r>
          </w:p>
          <w:p>
            <w:pPr>
              <w:spacing w:after="120"/>
            </w:pPr>
            <w:r>
              <w:rPr>
                <w:color w:val="374151"/>
                <w:sz w:val="20"/>
                <w:szCs w:val="20"/>
              </w:rPr>
              <w:t xml:space="preserve">Praktek 8 jam per hari, 35–50 pasien. One nurse who doubles as admin. RME masih buku tulis, antrian nomor kertas, notifikasi pasien via WA diketik satu per satu.</w:t>
            </w:r>
          </w:p>
          <w:p>
            <w:r>
              <w:rPr>
                <w:b/>
                <w:bCs/>
                <w:color w:val="0D9488"/>
                <w:sz w:val="22"/>
                <w:szCs w:val="22"/>
              </w:rPr>
              <w:t xml:space="preserve">Pain Points</w:t>
            </w:r>
          </w:p>
          <w:p>
            <w:r>
              <w:rPr>
                <w:color w:val="374151"/>
                <w:sz w:val="20"/>
                <w:szCs w:val="20"/>
              </w:rPr>
              <w:t xml:space="preserve">• 20+ menit per hari re-enter data pasien returning yang harusnya sudah ada di sistem</w:t>
            </w:r>
          </w:p>
          <w:p>
            <w:r>
              <w:rPr>
                <w:color w:val="374151"/>
                <w:sz w:val="20"/>
                <w:szCs w:val="20"/>
              </w:rPr>
              <w:t xml:space="preserve">• Pasien komplain antri lama tanpa estimasi kapan dipanggil</w:t>
            </w:r>
          </w:p>
          <w:p>
            <w:pPr>
              <w:spacing w:after="120"/>
            </w:pPr>
            <w:r>
              <w:rPr>
                <w:color w:val="374151"/>
                <w:sz w:val="20"/>
                <w:szCs w:val="20"/>
              </w:rPr>
              <w:t xml:space="preserve">• BPJS reporting tiap bulan butuh 2–3 hari rekap manual</w:t>
            </w:r>
          </w:p>
          <w:p>
            <w:r>
              <w:rPr>
                <w:b/>
                <w:bCs/>
                <w:color w:val="0D9488"/>
                <w:sz w:val="22"/>
                <w:szCs w:val="22"/>
              </w:rPr>
              <w:t xml:space="preserve">Job She Hires Klinikku To Do</w:t>
            </w:r>
          </w:p>
          <w:p>
            <w:pPr>
              <w:spacing w:after="120"/>
            </w:pPr>
            <w:r>
              <w:rPr>
                <w:i/>
                <w:iCs/>
                <w:color w:val="134E4A"/>
                <w:sz w:val="22"/>
                <w:szCs w:val="22"/>
              </w:rPr>
              <w:t xml:space="preserve">"Eliminate the mental overhead of tracking 40+ patients per day so I can focus on actually being a doctor, not an administrator."</w:t>
            </w:r>
          </w:p>
          <w:p>
            <w:r>
              <w:rPr>
                <w:b/>
                <w:bCs/>
                <w:color w:val="0D9488"/>
                <w:sz w:val="22"/>
                <w:szCs w:val="22"/>
              </w:rPr>
              <w:t xml:space="preserve">How Klinikku Solves It</w:t>
            </w:r>
          </w:p>
          <w:p>
            <w:r>
              <w:rPr>
                <w:color w:val="374151"/>
                <w:sz w:val="20"/>
                <w:szCs w:val="20"/>
              </w:rPr>
              <w:t xml:space="preserve">RME pre-fill for returning patients via NIK lookup · Antrian digital with automatic WA reminders · BPJS report one-click PDF/Excel export.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9FAFB" w:val="clear"/>
            <w:tcMar>
              <w:top w:type="dxa" w:w="120"/>
              <w:left w:type="dxa" w:w="160"/>
              <w:bottom w:type="dxa" w:w="120"/>
              <w:right w:type="dxa" w:w="160"/>
            </w:tcMar>
          </w:tcPr>
          <w:p>
            <w:pPr>
              <w:spacing w:after="60"/>
            </w:pPr>
            <w:r>
              <w:rPr>
                <w:rFonts w:ascii="Plus Jakarta Sans" w:cs="Plus Jakarta Sans" w:eastAsia="Plus Jakarta Sans" w:hAnsi="Plus Jakarta Sans"/>
                <w:b/>
                <w:bCs/>
                <w:color w:val="134E4A"/>
                <w:sz w:val="24"/>
                <w:szCs w:val="24"/>
              </w:rPr>
              <w:t xml:space="preserve">PERSONA 2  ·  Pak Hendra Santoso</w:t>
            </w:r>
          </w:p>
          <w:p>
            <w:pPr>
              <w:spacing w:after="120"/>
            </w:pPr>
            <w:r>
              <w:rPr>
                <w:i/>
                <w:iCs/>
                <w:color w:val="6B7280"/>
                <w:sz w:val="20"/>
                <w:szCs w:val="20"/>
              </w:rPr>
              <w:t xml:space="preserve">Owner — Praktek Mandiri, Manado, solo dokter</w:t>
            </w:r>
          </w:p>
          <w:p>
            <w:r>
              <w:rPr>
                <w:b/>
                <w:bCs/>
                <w:color w:val="0D9488"/>
                <w:sz w:val="22"/>
                <w:szCs w:val="22"/>
              </w:rPr>
              <w:t xml:space="preserve">Context</w:t>
            </w:r>
          </w:p>
          <w:p>
            <w:pPr>
              <w:spacing w:after="120"/>
            </w:pPr>
            <w:r>
              <w:rPr>
                <w:color w:val="374151"/>
                <w:sz w:val="20"/>
                <w:szCs w:val="20"/>
              </w:rPr>
              <w:t xml:space="preserve">Dokter sekaligus pemilik klinik. Tidak ada admin terpisah. Responsible untuk semua — klinis, operasional, dan keuangan. Time is the scarcest resource.</w:t>
            </w:r>
          </w:p>
          <w:p>
            <w:r>
              <w:rPr>
                <w:b/>
                <w:bCs/>
                <w:color w:val="0D9488"/>
                <w:sz w:val="22"/>
                <w:szCs w:val="22"/>
              </w:rPr>
              <w:t xml:space="preserve">Pain Points</w:t>
            </w:r>
          </w:p>
          <w:p>
            <w:r>
              <w:rPr>
                <w:color w:val="374151"/>
                <w:sz w:val="20"/>
                <w:szCs w:val="20"/>
              </w:rPr>
              <w:t xml:space="preserve">• Tidak ada visibilitas real-time atas operasional klinik saat sedang periksa pasien</w:t>
            </w:r>
          </w:p>
          <w:p>
            <w:r>
              <w:rPr>
                <w:color w:val="374151"/>
                <w:sz w:val="20"/>
                <w:szCs w:val="20"/>
              </w:rPr>
              <w:t xml:space="preserve">• Invoice dibuat manual di Word, dikirim via WA foto struk</w:t>
            </w:r>
          </w:p>
          <w:p>
            <w:pPr>
              <w:spacing w:after="120"/>
            </w:pPr>
            <w:r>
              <w:rPr>
                <w:color w:val="374151"/>
                <w:sz w:val="20"/>
                <w:szCs w:val="20"/>
              </w:rPr>
              <w:t xml:space="preserve">• Tidak ada laporan keuangan harian — estimasi dari ingatan saja</w:t>
            </w:r>
          </w:p>
          <w:p>
            <w:r>
              <w:rPr>
                <w:b/>
                <w:bCs/>
                <w:color w:val="0D9488"/>
                <w:sz w:val="22"/>
                <w:szCs w:val="22"/>
              </w:rPr>
              <w:t xml:space="preserve">Job He Hires Klinikku To Do</w:t>
            </w:r>
          </w:p>
          <w:p>
            <w:pPr>
              <w:spacing w:after="120"/>
            </w:pPr>
            <w:r>
              <w:rPr>
                <w:i/>
                <w:iCs/>
                <w:color w:val="134E4A"/>
                <w:sz w:val="22"/>
                <w:szCs w:val="22"/>
              </w:rPr>
              <w:t xml:space="preserve">"Give me a single view of my clinic's operations and finances so I can make decisions without stopping to gather information manually."</w:t>
            </w:r>
          </w:p>
          <w:p>
            <w:r>
              <w:rPr>
                <w:b/>
                <w:bCs/>
                <w:color w:val="0D9488"/>
                <w:sz w:val="22"/>
                <w:szCs w:val="22"/>
              </w:rPr>
              <w:t xml:space="preserve">How Klinikku Solves It</w:t>
            </w:r>
          </w:p>
          <w:p>
            <w:r>
              <w:rPr>
                <w:color w:val="374151"/>
                <w:sz w:val="20"/>
                <w:szCs w:val="20"/>
              </w:rPr>
              <w:t xml:space="preserve">Owner dashboard with real-time patient count, revenue summary, and queue status · Built-in billing with auto-generated PDF kwitansi · Daily report compilation via AI assistant.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160"/>
              <w:bottom w:type="dxa" w:w="120"/>
              <w:right w:type="dxa" w:w="160"/>
            </w:tcMar>
          </w:tcPr>
          <w:p>
            <w:pPr>
              <w:spacing w:after="60"/>
            </w:pPr>
            <w:r>
              <w:rPr>
                <w:rFonts w:ascii="Plus Jakarta Sans" w:cs="Plus Jakarta Sans" w:eastAsia="Plus Jakarta Sans" w:hAnsi="Plus Jakarta Sans"/>
                <w:b/>
                <w:bCs/>
                <w:color w:val="134E4A"/>
                <w:sz w:val="24"/>
                <w:szCs w:val="24"/>
              </w:rPr>
              <w:t xml:space="preserve">PERSONA 3  ·  Nurse Dewi Rahayu</w:t>
            </w:r>
          </w:p>
          <w:p>
            <w:pPr>
              <w:spacing w:after="120"/>
            </w:pPr>
            <w:r>
              <w:rPr>
                <w:i/>
                <w:iCs/>
                <w:color w:val="6B7280"/>
                <w:sz w:val="20"/>
                <w:szCs w:val="20"/>
              </w:rPr>
              <w:t xml:space="preserve">Perawat / Front Desk — Klinik Pratama, 3 dokter, 40+ pasien/hari</w:t>
            </w:r>
          </w:p>
          <w:p>
            <w:r>
              <w:rPr>
                <w:b/>
                <w:bCs/>
                <w:color w:val="0D9488"/>
                <w:sz w:val="22"/>
                <w:szCs w:val="22"/>
              </w:rPr>
              <w:t xml:space="preserve">Context</w:t>
            </w:r>
          </w:p>
          <w:p>
            <w:pPr>
              <w:spacing w:after="120"/>
            </w:pPr>
            <w:r>
              <w:rPr>
                <w:color w:val="374151"/>
                <w:sz w:val="20"/>
                <w:szCs w:val="20"/>
              </w:rPr>
              <w:t xml:space="preserve">Pintu masuk semua pasien. Dewi harus register pasien baru, panggil antrian, input vital signs, dan jawab pertanyaan pasien tentang kapan giliran mereka — semua secara bersamaan, setiap hari.</w:t>
            </w:r>
          </w:p>
          <w:p>
            <w:r>
              <w:rPr>
                <w:b/>
                <w:bCs/>
                <w:color w:val="0D9488"/>
                <w:sz w:val="22"/>
                <w:szCs w:val="22"/>
              </w:rPr>
              <w:t xml:space="preserve">Pain Points</w:t>
            </w:r>
          </w:p>
          <w:p>
            <w:r>
              <w:rPr>
                <w:color w:val="374151"/>
                <w:sz w:val="20"/>
                <w:szCs w:val="20"/>
              </w:rPr>
              <w:t xml:space="preserve">• Pasien terus-menerus menghampiri meja untuk tanya "sudah berapa nomor?"</w:t>
            </w:r>
          </w:p>
          <w:p>
            <w:r>
              <w:rPr>
                <w:color w:val="374151"/>
                <w:sz w:val="20"/>
                <w:szCs w:val="20"/>
              </w:rPr>
              <w:t xml:space="preserve">• Antrian per dokter sulit di-track secara manual saat sedang multitasking</w:t>
            </w:r>
          </w:p>
          <w:p>
            <w:pPr>
              <w:spacing w:after="120"/>
            </w:pPr>
            <w:r>
              <w:rPr>
                <w:color w:val="374151"/>
                <w:sz w:val="20"/>
                <w:szCs w:val="20"/>
              </w:rPr>
              <w:t xml:space="preserve">• Tidak ada cara mudah untuk pindahkan pasien ke dokter lain</w:t>
            </w:r>
          </w:p>
          <w:p>
            <w:r>
              <w:rPr>
                <w:b/>
                <w:bCs/>
                <w:color w:val="0D9488"/>
                <w:sz w:val="22"/>
                <w:szCs w:val="22"/>
              </w:rPr>
              <w:t xml:space="preserve">Job She Hires Klinikku To Do</w:t>
            </w:r>
          </w:p>
          <w:p>
            <w:pPr>
              <w:spacing w:after="120"/>
            </w:pPr>
            <w:r>
              <w:rPr>
                <w:i/>
                <w:iCs/>
                <w:color w:val="134E4A"/>
                <w:sz w:val="22"/>
                <w:szCs w:val="22"/>
              </w:rPr>
              <w:t xml:space="preserve">"Let the system answer the 'how long do I have to wait' question automatically so I can focus on intake, not crowd management."</w:t>
            </w:r>
          </w:p>
          <w:p>
            <w:r>
              <w:rPr>
                <w:b/>
                <w:bCs/>
                <w:color w:val="0D9488"/>
                <w:sz w:val="22"/>
                <w:szCs w:val="22"/>
              </w:rPr>
              <w:t xml:space="preserve">How Klinikku Solves It</w:t>
            </w:r>
          </w:p>
          <w:p>
            <w:r>
              <w:rPr>
                <w:color w:val="374151"/>
                <w:sz w:val="20"/>
                <w:szCs w:val="20"/>
              </w:rPr>
              <w:t xml:space="preserve">Real-time queue display screen (TV/tablet, no login) · Automatic WA reminders at position 3 and position 1 · One-click patient registration for walk-in and returning patients.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9FAFB" w:val="clear"/>
            <w:tcMar>
              <w:top w:type="dxa" w:w="120"/>
              <w:left w:type="dxa" w:w="160"/>
              <w:bottom w:type="dxa" w:w="120"/>
              <w:right w:type="dxa" w:w="160"/>
            </w:tcMar>
          </w:tcPr>
          <w:p>
            <w:pPr>
              <w:spacing w:after="60"/>
            </w:pPr>
            <w:r>
              <w:rPr>
                <w:rFonts w:ascii="Plus Jakarta Sans" w:cs="Plus Jakarta Sans" w:eastAsia="Plus Jakarta Sans" w:hAnsi="Plus Jakarta Sans"/>
                <w:b/>
                <w:bCs/>
                <w:color w:val="134E4A"/>
                <w:sz w:val="24"/>
                <w:szCs w:val="24"/>
              </w:rPr>
              <w:t xml:space="preserve">PERSONA 4  ·  Budi Prasetyo</w:t>
            </w:r>
          </w:p>
          <w:p>
            <w:pPr>
              <w:spacing w:after="120"/>
            </w:pPr>
            <w:r>
              <w:rPr>
                <w:i/>
                <w:iCs/>
                <w:color w:val="6B7280"/>
                <w:sz w:val="20"/>
                <w:szCs w:val="20"/>
              </w:rPr>
              <w:t xml:space="preserve">Pasien Registered — Karyawan, 28 tahun, smartphone user</w:t>
            </w:r>
          </w:p>
          <w:p>
            <w:r>
              <w:rPr>
                <w:b/>
                <w:bCs/>
                <w:color w:val="0D9488"/>
                <w:sz w:val="22"/>
                <w:szCs w:val="22"/>
              </w:rPr>
              <w:t xml:space="preserve">Context</w:t>
            </w:r>
          </w:p>
          <w:p>
            <w:pPr>
              <w:spacing w:after="120"/>
            </w:pPr>
            <w:r>
              <w:rPr>
                <w:color w:val="374151"/>
                <w:sz w:val="20"/>
                <w:szCs w:val="20"/>
              </w:rPr>
              <w:t xml:space="preserve">Berobat ke klinik yang sama 3–4 kali per tahun. Selalu kerja pagi, tidak bisa menunggu di klinik tanpa estimasi waktu. Sering lupa nama obat yang pernah diresepkan dokter.</w:t>
            </w:r>
          </w:p>
          <w:p>
            <w:r>
              <w:rPr>
                <w:b/>
                <w:bCs/>
                <w:color w:val="0D9488"/>
                <w:sz w:val="22"/>
                <w:szCs w:val="22"/>
              </w:rPr>
              <w:t xml:space="preserve">Pain Points</w:t>
            </w:r>
          </w:p>
          <w:p>
            <w:r>
              <w:rPr>
                <w:color w:val="374151"/>
                <w:sz w:val="20"/>
                <w:szCs w:val="20"/>
              </w:rPr>
              <w:t xml:space="preserve">• Harus datang pagi-pagi untuk antri, lalu menunggu berjam-jam tanpa kepastian</w:t>
            </w:r>
          </w:p>
          <w:p>
            <w:r>
              <w:rPr>
                <w:color w:val="374151"/>
                <w:sz w:val="20"/>
                <w:szCs w:val="20"/>
              </w:rPr>
              <w:t xml:space="preserve">• Tidak ada riwayat kesehatan yang bisa dibawa ke klinik lain</w:t>
            </w:r>
          </w:p>
          <w:p>
            <w:pPr>
              <w:spacing w:after="120"/>
            </w:pPr>
            <w:r>
              <w:rPr>
                <w:color w:val="374151"/>
                <w:sz w:val="20"/>
                <w:szCs w:val="20"/>
              </w:rPr>
              <w:t xml:space="preserve">• Selalu lupa apakah punya alergi obat yang sudah dicatat dokter</w:t>
            </w:r>
          </w:p>
          <w:p>
            <w:r>
              <w:rPr>
                <w:b/>
                <w:bCs/>
                <w:color w:val="0D9488"/>
                <w:sz w:val="22"/>
                <w:szCs w:val="22"/>
              </w:rPr>
              <w:t xml:space="preserve">Job He Hires Klinikku To Do</w:t>
            </w:r>
          </w:p>
          <w:p>
            <w:pPr>
              <w:spacing w:after="120"/>
            </w:pPr>
            <w:r>
              <w:rPr>
                <w:i/>
                <w:iCs/>
                <w:color w:val="134E4A"/>
                <w:sz w:val="22"/>
                <w:szCs w:val="22"/>
              </w:rPr>
              <w:t xml:space="preserve">"Let me take a queue number from home and only leave when I'm actually needed — and carry my health history wherever I go."</w:t>
            </w:r>
          </w:p>
          <w:p>
            <w:r>
              <w:rPr>
                <w:b/>
                <w:bCs/>
                <w:color w:val="0D9488"/>
                <w:sz w:val="22"/>
                <w:szCs w:val="22"/>
              </w:rPr>
              <w:t xml:space="preserve">How Klinikku Solves It</w:t>
            </w:r>
          </w:p>
          <w:p>
            <w:r>
              <w:rPr>
                <w:color w:val="374151"/>
                <w:sz w:val="20"/>
                <w:szCs w:val="20"/>
              </w:rPr>
              <w:t xml:space="preserve">Online queue from mobile app + push notification at position 3/1 · Portable health record (riwayat, alergi, diagnosa, resep aktif) accessible across all Klinikku clinics via NIK.</w:t>
            </w:r>
          </w:p>
        </w:tc>
      </w:tr>
    </w:tbl>
    <w:p>
      <w:r>
        <w:br w:type="page"/>
      </w:r>
    </w:p>
    <w:p>
      <w:pPr>
        <w:pStyle w:val="Heading1"/>
        <w:pBdr>
          <w:bottom w:val="single" w:color="0D9488" w:sz="4"/>
        </w:pBdr>
        <w:spacing w:after="160" w:before="480"/>
      </w:pPr>
      <w:r>
        <w:t xml:space="preserve">4. Patient Model</w:t>
      </w:r>
    </w:p>
    <w:p>
      <w:pPr>
        <w:spacing w:after="120"/>
      </w:pPr>
      <w:r>
        <w:rPr>
          <w:color w:val="374151"/>
          <w:sz w:val="22"/>
          <w:szCs w:val="22"/>
        </w:rPr>
        <w:t xml:space="preserve">Klinikku supports two patient types that coexist within the same clinic. The core principle: a Klinikku account is a value-add, never a requirement for receiving care. Zero friction for patients who just want to be treated.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0D9488" w:val="clear"/>
            <w:tcMar>
              <w:top w:type="dxa" w:w="100"/>
              <w:left w:type="dxa" w:w="160"/>
              <w:bottom w:type="dxa" w:w="100"/>
              <w:right w:type="dxa" w:w="160"/>
            </w:tcMar>
          </w:tcPr>
          <w:p>
            <w:r>
              <w:rPr>
                <w:rFonts w:ascii="Plus Jakarta Sans" w:cs="Plus Jakarta Sans" w:eastAsia="Plus Jakarta Sans" w:hAnsi="Plus Jakarta Sans"/>
                <w:b/>
                <w:bCs/>
                <w:color w:val="FFFFFF"/>
                <w:sz w:val="22"/>
                <w:szCs w:val="22"/>
              </w:rPr>
              <w:t xml:space="preserve">Guest / Unregistered Patient</w:t>
            </w:r>
          </w:p>
        </w:tc>
        <w:tc>
          <w:tcPr>
            <w:tcW w:type="dxa" w:w="4680"/>
            <w:shd w:fill="0D9488" w:val="clear"/>
            <w:tcMar>
              <w:top w:type="dxa" w:w="100"/>
              <w:left w:type="dxa" w:w="160"/>
              <w:bottom w:type="dxa" w:w="100"/>
              <w:right w:type="dxa" w:w="160"/>
            </w:tcMar>
          </w:tcPr>
          <w:p>
            <w:r>
              <w:rPr>
                <w:rFonts w:ascii="Plus Jakarta Sans" w:cs="Plus Jakarta Sans" w:eastAsia="Plus Jakarta Sans" w:hAnsi="Plus Jakarta Sans"/>
                <w:b/>
                <w:bCs/>
                <w:color w:val="FFFFFF"/>
                <w:sz w:val="22"/>
                <w:szCs w:val="22"/>
              </w:rPr>
              <w:t xml:space="preserve">Registered Patient</w:t>
            </w:r>
          </w:p>
        </w:tc>
      </w:tr>
      <w:tr>
        <w:tc>
          <w:tcPr>
            <w:tcW w:type="dxa" w:w="4680"/>
            <w:tcMar>
              <w:top w:type="dxa" w:w="100"/>
              <w:left w:type="dxa" w:w="160"/>
              <w:bottom w:type="dxa" w:w="100"/>
              <w:right w:type="dxa" w:w="160"/>
            </w:tcMar>
          </w:tcPr>
          <w:p>
            <w:r>
              <w:rPr>
                <w:color w:val="374151"/>
                <w:sz w:val="20"/>
                <w:szCs w:val="20"/>
              </w:rPr>
              <w:t xml:space="preserve">• No Klinikku account required</w:t>
            </w:r>
          </w:p>
          <w:p>
            <w:r>
              <w:rPr>
                <w:color w:val="374151"/>
                <w:sz w:val="20"/>
                <w:szCs w:val="20"/>
              </w:rPr>
              <w:t xml:space="preserve">• Staff input: nama, no. HP, NIK (optional), keluhan</w:t>
            </w:r>
          </w:p>
          <w:p>
            <w:r>
              <w:rPr>
                <w:color w:val="374151"/>
                <w:sz w:val="20"/>
                <w:szCs w:val="20"/>
              </w:rPr>
              <w:t xml:space="preserve">• System generates: queue number, tracking link</w:t>
            </w:r>
          </w:p>
          <w:p>
            <w:r>
              <w:rPr>
                <w:color w:val="374151"/>
                <w:sz w:val="20"/>
                <w:szCs w:val="20"/>
              </w:rPr>
              <w:t xml:space="preserve">• WA auto-sent: konfirmasi + tracking link</w:t>
            </w:r>
          </w:p>
          <w:p>
            <w:r>
              <w:rPr>
                <w:color w:val="374151"/>
                <w:sz w:val="20"/>
                <w:szCs w:val="20"/>
              </w:rPr>
              <w:t xml:space="preserve">• WA reminder: position 3 &amp; position 1</w:t>
            </w:r>
          </w:p>
          <w:p>
            <w:r>
              <w:rPr>
                <w:color w:val="374151"/>
                <w:sz w:val="20"/>
                <w:szCs w:val="20"/>
              </w:rPr>
              <w:t xml:space="preserve">• Public tracking: klinikku.app/q/{token}</w:t>
            </w:r>
          </w:p>
          <w:p>
            <w:r>
              <w:rPr>
                <w:color w:val="374151"/>
                <w:sz w:val="20"/>
                <w:szCs w:val="20"/>
              </w:rPr>
              <w:t xml:space="preserve">• Post-visit WA: ringkasan + invitation to register</w:t>
            </w:r>
          </w:p>
        </w:tc>
        <w:tc>
          <w:tcPr>
            <w:tcW w:type="dxa" w:w="4680"/>
            <w:shd w:fill="F0FDFA" w:val="clear"/>
            <w:tcMar>
              <w:top w:type="dxa" w:w="100"/>
              <w:left w:type="dxa" w:w="160"/>
              <w:bottom w:type="dxa" w:w="100"/>
              <w:right w:type="dxa" w:w="160"/>
            </w:tcMar>
          </w:tcPr>
          <w:p>
            <w:r>
              <w:rPr>
                <w:color w:val="374151"/>
                <w:sz w:val="20"/>
                <w:szCs w:val="20"/>
              </w:rPr>
              <w:t xml:space="preserve">• Full Klinikku mobile app account</w:t>
            </w:r>
          </w:p>
          <w:p>
            <w:r>
              <w:rPr>
                <w:color w:val="374151"/>
                <w:sz w:val="20"/>
                <w:szCs w:val="20"/>
              </w:rPr>
              <w:t xml:space="preserve">• NIK as universal identifier (Permenkes 24/2022)</w:t>
            </w:r>
          </w:p>
          <w:p>
            <w:r>
              <w:rPr>
                <w:color w:val="374151"/>
                <w:sz w:val="20"/>
                <w:szCs w:val="20"/>
              </w:rPr>
              <w:t xml:space="preserve">• Online queue from home (no need to come early)</w:t>
            </w:r>
          </w:p>
          <w:p>
            <w:r>
              <w:rPr>
                <w:color w:val="374151"/>
                <w:sz w:val="20"/>
                <w:szCs w:val="20"/>
              </w:rPr>
              <w:t xml:space="preserve">• Appointment booking + management</w:t>
            </w:r>
          </w:p>
          <w:p>
            <w:r>
              <w:rPr>
                <w:color w:val="374151"/>
                <w:sz w:val="20"/>
                <w:szCs w:val="20"/>
              </w:rPr>
              <w:t xml:space="preserve">• Live queue tracking + push notifications</w:t>
            </w:r>
          </w:p>
          <w:p>
            <w:r>
              <w:rPr>
                <w:color w:val="374151"/>
                <w:sz w:val="20"/>
                <w:szCs w:val="20"/>
              </w:rPr>
              <w:t xml:space="preserve">• Portable health record across all Klinikku clinics</w:t>
            </w:r>
          </w:p>
          <w:p>
            <w:r>
              <w:rPr>
                <w:color w:val="374151"/>
                <w:sz w:val="20"/>
                <w:szCs w:val="20"/>
              </w:rPr>
              <w:t xml:space="preserve">• Consent management per clinic</w:t>
            </w:r>
          </w:p>
          <w:p>
            <w:r>
              <w:rPr>
                <w:color w:val="374151"/>
                <w:sz w:val="20"/>
                <w:szCs w:val="20"/>
              </w:rPr>
              <w:t xml:space="preserve">• Active prescriptions + medication reminders</w:t>
            </w:r>
          </w:p>
        </w:tc>
      </w:tr>
    </w:tbl>
    <w:p>
      <w:pPr>
        <w:spacing w:after="80"/>
      </w:pPr>
    </w:p>
    <w:p>
      <w:pPr>
        <w:spacing w:after="120"/>
      </w:pPr>
      <w:r>
        <w:rPr>
          <w:color w:val="374151"/>
          <w:sz w:val="22"/>
          <w:szCs w:val="22"/>
        </w:rPr>
        <w:t xml:space="preserve">Guest Upgrade Flow: When a guest patient registers on the mobile app and provides their NIK, the system automatically matches and migrates all prior visit history into their new account. No data loss, no manual merging required.</w:t>
      </w:r>
    </w:p>
    <w:p>
      <w:r>
        <w:br w:type="page"/>
      </w:r>
    </w:p>
    <w:p>
      <w:pPr>
        <w:pStyle w:val="Heading1"/>
        <w:pBdr>
          <w:bottom w:val="single" w:color="0D9488" w:sz="4"/>
        </w:pBdr>
        <w:spacing w:after="160" w:before="480"/>
      </w:pPr>
      <w:r>
        <w:t xml:space="preserve">5. Core Features</w:t>
      </w:r>
    </w:p>
    <w:p>
      <w:pPr>
        <w:pStyle w:val="Heading2"/>
        <w:spacing w:after="120" w:before="360"/>
      </w:pPr>
      <w:r>
        <w:t xml:space="preserve">5.1 Antrian &amp; Queue Management</w:t>
      </w:r>
    </w:p>
    <w:p>
      <w:pPr>
        <w:pStyle w:val="ListParagraph"/>
        <w:numPr>
          <w:ilvl w:val="0"/>
          <w:numId w:val="2"/>
        </w:numPr>
        <w:spacing w:after="60"/>
      </w:pPr>
      <w:r>
        <w:rPr>
          <w:color w:val="374151"/>
          <w:sz w:val="22"/>
          <w:szCs w:val="22"/>
        </w:rPr>
        <w:t xml:space="preserve">Real-time digital queue per doctor / per poli via WebSocket (Laravel Reverb)</w:t>
      </w:r>
    </w:p>
    <w:p>
      <w:pPr>
        <w:pStyle w:val="ListParagraph"/>
        <w:numPr>
          <w:ilvl w:val="0"/>
          <w:numId w:val="2"/>
        </w:numPr>
        <w:spacing w:after="60"/>
      </w:pPr>
      <w:r>
        <w:rPr>
          <w:color w:val="374151"/>
          <w:sz w:val="22"/>
          <w:szCs w:val="22"/>
        </w:rPr>
        <w:t xml:space="preserve">Walk-in registration by staff (guest + returning patient lookup by NIK)</w:t>
      </w:r>
    </w:p>
    <w:p>
      <w:pPr>
        <w:pStyle w:val="ListParagraph"/>
        <w:numPr>
          <w:ilvl w:val="0"/>
          <w:numId w:val="2"/>
        </w:numPr>
        <w:spacing w:after="60"/>
      </w:pPr>
      <w:r>
        <w:rPr>
          <w:color w:val="374151"/>
          <w:sz w:val="22"/>
          <w:szCs w:val="22"/>
        </w:rPr>
        <w:t xml:space="preserve">Online queue number from mobile app (registered patients only)</w:t>
      </w:r>
    </w:p>
    <w:p>
      <w:pPr>
        <w:pStyle w:val="ListParagraph"/>
        <w:numPr>
          <w:ilvl w:val="0"/>
          <w:numId w:val="2"/>
        </w:numPr>
        <w:spacing w:after="60"/>
      </w:pPr>
      <w:r>
        <w:rPr>
          <w:color w:val="374151"/>
          <w:sz w:val="22"/>
          <w:szCs w:val="22"/>
        </w:rPr>
        <w:t xml:space="preserve">Automatic WA reminder: position 3 (warning) + position 1 (urgent)</w:t>
      </w:r>
    </w:p>
    <w:p>
      <w:pPr>
        <w:pStyle w:val="ListParagraph"/>
        <w:numPr>
          <w:ilvl w:val="0"/>
          <w:numId w:val="2"/>
        </w:numPr>
        <w:spacing w:after="60"/>
      </w:pPr>
      <w:r>
        <w:rPr>
          <w:color w:val="374151"/>
          <w:sz w:val="22"/>
          <w:szCs w:val="22"/>
        </w:rPr>
        <w:t xml:space="preserve">Public tracking page: klinikku.app/q/{token} — no login required</w:t>
      </w:r>
    </w:p>
    <w:p>
      <w:pPr>
        <w:pStyle w:val="ListParagraph"/>
        <w:numPr>
          <w:ilvl w:val="0"/>
          <w:numId w:val="2"/>
        </w:numPr>
        <w:spacing w:after="60"/>
      </w:pPr>
      <w:r>
        <w:rPr>
          <w:color w:val="374151"/>
          <w:sz w:val="22"/>
          <w:szCs w:val="22"/>
        </w:rPr>
        <w:t xml:space="preserve">Waiting room display screen: klinikku.app/display/{clinic_id} — browser on TV/tablet</w:t>
      </w:r>
    </w:p>
    <w:p>
      <w:pPr>
        <w:pStyle w:val="ListParagraph"/>
        <w:numPr>
          <w:ilvl w:val="0"/>
          <w:numId w:val="2"/>
        </w:numPr>
        <w:spacing w:after="60"/>
      </w:pPr>
      <w:r>
        <w:rPr>
          <w:color w:val="374151"/>
          <w:sz w:val="22"/>
          <w:szCs w:val="22"/>
        </w:rPr>
        <w:t xml:space="preserve">Queue transfer between doctors</w:t>
      </w:r>
    </w:p>
    <w:p>
      <w:pPr>
        <w:pStyle w:val="ListParagraph"/>
        <w:numPr>
          <w:ilvl w:val="0"/>
          <w:numId w:val="2"/>
        </w:numPr>
        <w:spacing w:after="60"/>
      </w:pPr>
      <w:r>
        <w:rPr>
          <w:color w:val="374151"/>
          <w:sz w:val="22"/>
          <w:szCs w:val="22"/>
        </w:rPr>
        <w:t xml:space="preserve">Per-clinic queue type configuration (walk-in / appointment / hybrid)</w:t>
      </w:r>
    </w:p>
    <w:p>
      <w:pPr>
        <w:spacing w:after="80"/>
      </w:pPr>
    </w:p>
    <w:p>
      <w:pPr>
        <w:pStyle w:val="Heading2"/>
        <w:spacing w:after="120" w:before="360"/>
      </w:pPr>
      <w:r>
        <w:t xml:space="preserve">5.2 Electronic Medical Record (RME)</w:t>
      </w:r>
    </w:p>
    <w:p>
      <w:pPr>
        <w:spacing w:after="120"/>
      </w:pPr>
      <w:r>
        <w:rPr>
          <w:color w:val="374151"/>
          <w:sz w:val="22"/>
          <w:szCs w:val="22"/>
        </w:rPr>
        <w:t xml:space="preserve">Compliant with Permenkes No. 24 Tahun 2022, Pasal 3 &amp; 14.</w:t>
      </w:r>
    </w:p>
    <w:p>
      <w:pPr>
        <w:pStyle w:val="ListParagraph"/>
        <w:numPr>
          <w:ilvl w:val="0"/>
          <w:numId w:val="2"/>
        </w:numPr>
        <w:spacing w:after="60"/>
      </w:pPr>
      <w:r>
        <w:rPr>
          <w:color w:val="374151"/>
          <w:sz w:val="22"/>
          <w:szCs w:val="22"/>
        </w:rPr>
        <w:t xml:space="preserve">NIK as universal patient identifier</w:t>
      </w:r>
    </w:p>
    <w:p>
      <w:pPr>
        <w:pStyle w:val="ListParagraph"/>
        <w:numPr>
          <w:ilvl w:val="0"/>
          <w:numId w:val="2"/>
        </w:numPr>
        <w:spacing w:after="60"/>
      </w:pPr>
      <w:r>
        <w:rPr>
          <w:color w:val="374151"/>
          <w:sz w:val="22"/>
          <w:szCs w:val="22"/>
        </w:rPr>
        <w:t xml:space="preserve">SOAP format: Subjective, Objective, Assessment, Plan</w:t>
      </w:r>
    </w:p>
    <w:p>
      <w:pPr>
        <w:pStyle w:val="ListParagraph"/>
        <w:numPr>
          <w:ilvl w:val="0"/>
          <w:numId w:val="2"/>
        </w:numPr>
        <w:spacing w:after="60"/>
      </w:pPr>
      <w:r>
        <w:rPr>
          <w:color w:val="374151"/>
          <w:sz w:val="22"/>
          <w:szCs w:val="22"/>
        </w:rPr>
        <w:t xml:space="preserve">ICD-10 diagnosis lookup with autocomplete</w:t>
      </w:r>
    </w:p>
    <w:p>
      <w:pPr>
        <w:pStyle w:val="ListParagraph"/>
        <w:numPr>
          <w:ilvl w:val="0"/>
          <w:numId w:val="2"/>
        </w:numPr>
        <w:spacing w:after="60"/>
      </w:pPr>
      <w:r>
        <w:rPr>
          <w:color w:val="374151"/>
          <w:sz w:val="22"/>
          <w:szCs w:val="22"/>
        </w:rPr>
        <w:t xml:space="preserve">E-prescribing with drug stock integration</w:t>
      </w:r>
    </w:p>
    <w:p>
      <w:pPr>
        <w:pStyle w:val="ListParagraph"/>
        <w:numPr>
          <w:ilvl w:val="0"/>
          <w:numId w:val="2"/>
        </w:numPr>
        <w:spacing w:after="60"/>
      </w:pPr>
      <w:r>
        <w:rPr>
          <w:color w:val="374151"/>
          <w:sz w:val="22"/>
          <w:szCs w:val="22"/>
        </w:rPr>
        <w:t xml:space="preserve">Tindakan medis recording</w:t>
      </w:r>
    </w:p>
    <w:p>
      <w:pPr>
        <w:pStyle w:val="ListParagraph"/>
        <w:numPr>
          <w:ilvl w:val="0"/>
          <w:numId w:val="2"/>
        </w:numPr>
        <w:spacing w:after="60"/>
      </w:pPr>
      <w:r>
        <w:rPr>
          <w:color w:val="374151"/>
          <w:sz w:val="22"/>
          <w:szCs w:val="22"/>
        </w:rPr>
        <w:t xml:space="preserve">Lab order generation</w:t>
      </w:r>
    </w:p>
    <w:p>
      <w:pPr>
        <w:pStyle w:val="ListParagraph"/>
        <w:numPr>
          <w:ilvl w:val="0"/>
          <w:numId w:val="2"/>
        </w:numPr>
        <w:spacing w:after="60"/>
      </w:pPr>
      <w:r>
        <w:rPr>
          <w:color w:val="374151"/>
          <w:sz w:val="22"/>
          <w:szCs w:val="22"/>
        </w:rPr>
        <w:t xml:space="preserve">Rujukan digital generation (per 2026 competency-based referral regulation)</w:t>
      </w:r>
    </w:p>
    <w:p>
      <w:pPr>
        <w:pStyle w:val="ListParagraph"/>
        <w:numPr>
          <w:ilvl w:val="0"/>
          <w:numId w:val="2"/>
        </w:numPr>
        <w:spacing w:after="60"/>
      </w:pPr>
      <w:r>
        <w:rPr>
          <w:color w:val="374151"/>
          <w:sz w:val="22"/>
          <w:szCs w:val="22"/>
        </w:rPr>
        <w:t xml:space="preserve">Patient allergy and chronic condition tracking</w:t>
      </w:r>
    </w:p>
    <w:p>
      <w:pPr>
        <w:pStyle w:val="ListParagraph"/>
        <w:numPr>
          <w:ilvl w:val="0"/>
          <w:numId w:val="2"/>
        </w:numPr>
        <w:spacing w:after="60"/>
      </w:pPr>
      <w:r>
        <w:rPr>
          <w:color w:val="374151"/>
          <w:sz w:val="22"/>
          <w:szCs w:val="22"/>
        </w:rPr>
        <w:t xml:space="preserve">RME history portable across all Klinikku clinics via consent management</w:t>
      </w:r>
    </w:p>
    <w:p>
      <w:pPr>
        <w:spacing w:after="80"/>
      </w:pPr>
    </w:p>
    <w:p>
      <w:pPr>
        <w:pStyle w:val="Heading2"/>
        <w:spacing w:after="120" w:before="360"/>
      </w:pPr>
      <w:r>
        <w:t xml:space="preserve">5.3 Appointment System</w:t>
      </w:r>
    </w:p>
    <w:p>
      <w:pPr>
        <w:pStyle w:val="ListParagraph"/>
        <w:numPr>
          <w:ilvl w:val="0"/>
          <w:numId w:val="2"/>
        </w:numPr>
        <w:spacing w:after="60"/>
      </w:pPr>
      <w:r>
        <w:rPr>
          <w:color w:val="374151"/>
          <w:sz w:val="22"/>
          <w:szCs w:val="22"/>
        </w:rPr>
        <w:t xml:space="preserve">Appointment booking via mobile app (registered patients)</w:t>
      </w:r>
    </w:p>
    <w:p>
      <w:pPr>
        <w:pStyle w:val="ListParagraph"/>
        <w:numPr>
          <w:ilvl w:val="0"/>
          <w:numId w:val="2"/>
        </w:numPr>
        <w:spacing w:after="60"/>
      </w:pPr>
      <w:r>
        <w:rPr>
          <w:color w:val="374151"/>
          <w:sz w:val="22"/>
          <w:szCs w:val="22"/>
        </w:rPr>
        <w:t xml:space="preserve">Per-doctor / per-specialist scheduling</w:t>
      </w:r>
    </w:p>
    <w:p>
      <w:pPr>
        <w:pStyle w:val="ListParagraph"/>
        <w:numPr>
          <w:ilvl w:val="0"/>
          <w:numId w:val="2"/>
        </w:numPr>
        <w:spacing w:after="60"/>
      </w:pPr>
      <w:r>
        <w:rPr>
          <w:color w:val="374151"/>
          <w:sz w:val="22"/>
          <w:szCs w:val="22"/>
        </w:rPr>
        <w:t xml:space="preserve">WA reminder H-1 before appointment</w:t>
      </w:r>
    </w:p>
    <w:p>
      <w:pPr>
        <w:pStyle w:val="ListParagraph"/>
        <w:numPr>
          <w:ilvl w:val="0"/>
          <w:numId w:val="2"/>
        </w:numPr>
        <w:spacing w:after="60"/>
      </w:pPr>
      <w:r>
        <w:rPr>
          <w:color w:val="374151"/>
          <w:sz w:val="22"/>
          <w:szCs w:val="22"/>
        </w:rPr>
        <w:t xml:space="preserve">Push notification reminder (registered patients)</w:t>
      </w:r>
    </w:p>
    <w:p>
      <w:pPr>
        <w:pStyle w:val="ListParagraph"/>
        <w:numPr>
          <w:ilvl w:val="0"/>
          <w:numId w:val="2"/>
        </w:numPr>
        <w:spacing w:after="60"/>
      </w:pPr>
      <w:r>
        <w:rPr>
          <w:color w:val="374151"/>
          <w:sz w:val="22"/>
          <w:szCs w:val="22"/>
        </w:rPr>
        <w:t xml:space="preserve">Appointment management for clinic admin</w:t>
      </w:r>
    </w:p>
    <w:p>
      <w:pPr>
        <w:spacing w:after="80"/>
      </w:pPr>
    </w:p>
    <w:p>
      <w:pPr>
        <w:pStyle w:val="Heading2"/>
        <w:spacing w:after="120" w:before="360"/>
      </w:pPr>
      <w:r>
        <w:t xml:space="preserve">5.4 WhatsApp Notification System</w:t>
      </w:r>
    </w:p>
    <w:p>
      <w:pPr>
        <w:spacing w:after="120"/>
      </w:pPr>
      <w:r>
        <w:rPr>
          <w:color w:val="374151"/>
          <w:sz w:val="22"/>
          <w:szCs w:val="22"/>
        </w:rPr>
        <w:t xml:space="preserve">Provider: Fonnte (v1 demo). Architecture documented for WhatsApp Business API migration in v2.</w:t>
      </w:r>
    </w:p>
    <w:p>
      <w:pPr>
        <w:pStyle w:val="ListParagraph"/>
        <w:numPr>
          <w:ilvl w:val="0"/>
          <w:numId w:val="2"/>
        </w:numPr>
        <w:spacing w:after="60"/>
      </w:pPr>
      <w:r>
        <w:rPr>
          <w:color w:val="374151"/>
          <w:sz w:val="22"/>
          <w:szCs w:val="22"/>
        </w:rPr>
        <w:t xml:space="preserve">Queue confirmation (guest + registered)</w:t>
      </w:r>
    </w:p>
    <w:p>
      <w:pPr>
        <w:pStyle w:val="ListParagraph"/>
        <w:numPr>
          <w:ilvl w:val="0"/>
          <w:numId w:val="2"/>
        </w:numPr>
        <w:spacing w:after="60"/>
      </w:pPr>
      <w:r>
        <w:rPr>
          <w:color w:val="374151"/>
          <w:sz w:val="22"/>
          <w:szCs w:val="22"/>
        </w:rPr>
        <w:t xml:space="preserve">Queue reminder at position 3 and position 1</w:t>
      </w:r>
    </w:p>
    <w:p>
      <w:pPr>
        <w:pStyle w:val="ListParagraph"/>
        <w:numPr>
          <w:ilvl w:val="0"/>
          <w:numId w:val="2"/>
        </w:numPr>
        <w:spacing w:after="60"/>
      </w:pPr>
      <w:r>
        <w:rPr>
          <w:color w:val="374151"/>
          <w:sz w:val="22"/>
          <w:szCs w:val="22"/>
        </w:rPr>
        <w:t xml:space="preserve">Post-visit summary + prescription info</w:t>
      </w:r>
    </w:p>
    <w:p>
      <w:pPr>
        <w:pStyle w:val="ListParagraph"/>
        <w:numPr>
          <w:ilvl w:val="0"/>
          <w:numId w:val="2"/>
        </w:numPr>
        <w:spacing w:after="60"/>
      </w:pPr>
      <w:r>
        <w:rPr>
          <w:color w:val="374151"/>
          <w:sz w:val="22"/>
          <w:szCs w:val="22"/>
        </w:rPr>
        <w:t xml:space="preserve">Rujukan digital delivery (PDF + kode)</w:t>
      </w:r>
    </w:p>
    <w:p>
      <w:pPr>
        <w:pStyle w:val="ListParagraph"/>
        <w:numPr>
          <w:ilvl w:val="0"/>
          <w:numId w:val="2"/>
        </w:numPr>
        <w:spacing w:after="60"/>
      </w:pPr>
      <w:r>
        <w:rPr>
          <w:color w:val="374151"/>
          <w:sz w:val="22"/>
          <w:szCs w:val="22"/>
        </w:rPr>
        <w:t xml:space="preserve">Appointment reminder H-1</w:t>
      </w:r>
    </w:p>
    <w:p>
      <w:pPr>
        <w:pStyle w:val="ListParagraph"/>
        <w:numPr>
          <w:ilvl w:val="0"/>
          <w:numId w:val="2"/>
        </w:numPr>
        <w:spacing w:after="60"/>
      </w:pPr>
      <w:r>
        <w:rPr>
          <w:color w:val="374151"/>
          <w:sz w:val="22"/>
          <w:szCs w:val="22"/>
        </w:rPr>
        <w:t xml:space="preserve">Lab result ready notification</w:t>
      </w:r>
    </w:p>
    <w:p>
      <w:pPr>
        <w:pStyle w:val="ListParagraph"/>
        <w:numPr>
          <w:ilvl w:val="0"/>
          <w:numId w:val="2"/>
        </w:numPr>
        <w:spacing w:after="60"/>
      </w:pPr>
      <w:r>
        <w:rPr>
          <w:color w:val="374151"/>
          <w:sz w:val="22"/>
          <w:szCs w:val="22"/>
        </w:rPr>
        <w:t xml:space="preserve">Guest-to-registered account invitation</w:t>
      </w:r>
    </w:p>
    <w:p>
      <w:pPr>
        <w:pStyle w:val="ListParagraph"/>
        <w:numPr>
          <w:ilvl w:val="0"/>
          <w:numId w:val="2"/>
        </w:numPr>
        <w:spacing w:after="60"/>
      </w:pPr>
      <w:r>
        <w:rPr>
          <w:color w:val="374151"/>
          <w:sz w:val="22"/>
          <w:szCs w:val="22"/>
        </w:rPr>
        <w:t xml:space="preserve">Consent request from new clinic (registered patients)</w:t>
      </w:r>
    </w:p>
    <w:p>
      <w:pPr>
        <w:spacing w:after="80"/>
      </w:pPr>
    </w:p>
    <w:p>
      <w:pPr>
        <w:pStyle w:val="Heading2"/>
        <w:spacing w:after="120" w:before="360"/>
      </w:pPr>
      <w:r>
        <w:t xml:space="preserve">5.5 Rujukan Digital</w:t>
      </w:r>
    </w:p>
    <w:p>
      <w:pPr>
        <w:spacing w:after="120"/>
      </w:pPr>
      <w:r>
        <w:rPr>
          <w:color w:val="374151"/>
          <w:sz w:val="22"/>
          <w:szCs w:val="22"/>
        </w:rPr>
        <w:t xml:space="preserve">Aligned to Indonesia's 2026 competency-based referral regulation. Referrals are digital-first, eliminating paper forms.</w:t>
      </w:r>
    </w:p>
    <w:p>
      <w:pPr>
        <w:pStyle w:val="ListParagraph"/>
        <w:numPr>
          <w:ilvl w:val="0"/>
          <w:numId w:val="2"/>
        </w:numPr>
        <w:spacing w:after="60"/>
      </w:pPr>
      <w:r>
        <w:rPr>
          <w:color w:val="374151"/>
          <w:sz w:val="22"/>
          <w:szCs w:val="22"/>
        </w:rPr>
        <w:t xml:space="preserve">Auto-fill from active RME (ICD-10 diagnosis, SOAP summary)</w:t>
      </w:r>
    </w:p>
    <w:p>
      <w:pPr>
        <w:pStyle w:val="ListParagraph"/>
        <w:numPr>
          <w:ilvl w:val="0"/>
          <w:numId w:val="2"/>
        </w:numPr>
        <w:spacing w:after="60"/>
      </w:pPr>
      <w:r>
        <w:rPr>
          <w:color w:val="374151"/>
          <w:sz w:val="22"/>
          <w:szCs w:val="22"/>
        </w:rPr>
        <w:t xml:space="preserve">BPJS / Umum referral type selection</w:t>
      </w:r>
    </w:p>
    <w:p>
      <w:pPr>
        <w:pStyle w:val="ListParagraph"/>
        <w:numPr>
          <w:ilvl w:val="0"/>
          <w:numId w:val="2"/>
        </w:numPr>
        <w:spacing w:after="60"/>
      </w:pPr>
      <w:r>
        <w:rPr>
          <w:color w:val="374151"/>
          <w:sz w:val="22"/>
          <w:szCs w:val="22"/>
        </w:rPr>
        <w:t xml:space="preserve">Faskes tujuan search + selection</w:t>
      </w:r>
    </w:p>
    <w:p>
      <w:pPr>
        <w:pStyle w:val="ListParagraph"/>
        <w:numPr>
          <w:ilvl w:val="0"/>
          <w:numId w:val="2"/>
        </w:numPr>
        <w:spacing w:after="60"/>
      </w:pPr>
      <w:r>
        <w:rPr>
          <w:color w:val="374151"/>
          <w:sz w:val="22"/>
          <w:szCs w:val="22"/>
        </w:rPr>
        <w:t xml:space="preserve">Urgency classification: Elektif / Segera / Darurat</w:t>
      </w:r>
    </w:p>
    <w:p>
      <w:pPr>
        <w:pStyle w:val="ListParagraph"/>
        <w:numPr>
          <w:ilvl w:val="0"/>
          <w:numId w:val="2"/>
        </w:numPr>
        <w:spacing w:after="60"/>
      </w:pPr>
      <w:r>
        <w:rPr>
          <w:color w:val="374151"/>
          <w:sz w:val="22"/>
          <w:szCs w:val="22"/>
        </w:rPr>
        <w:t xml:space="preserve">Generate PDF surat rujukan (printable)</w:t>
      </w:r>
    </w:p>
    <w:p>
      <w:pPr>
        <w:pStyle w:val="ListParagraph"/>
        <w:numPr>
          <w:ilvl w:val="0"/>
          <w:numId w:val="2"/>
        </w:numPr>
        <w:spacing w:after="60"/>
      </w:pPr>
      <w:r>
        <w:rPr>
          <w:color w:val="374151"/>
          <w:sz w:val="22"/>
          <w:szCs w:val="22"/>
        </w:rPr>
        <w:t xml:space="preserve">Generate digital referral code (QR verifiable)</w:t>
      </w:r>
    </w:p>
    <w:p>
      <w:pPr>
        <w:pStyle w:val="ListParagraph"/>
        <w:numPr>
          <w:ilvl w:val="0"/>
          <w:numId w:val="2"/>
        </w:numPr>
        <w:spacing w:after="60"/>
      </w:pPr>
      <w:r>
        <w:rPr>
          <w:color w:val="374151"/>
          <w:sz w:val="22"/>
          <w:szCs w:val="22"/>
        </w:rPr>
        <w:t xml:space="preserve">WA delivery: kode + PDF to patient</w:t>
      </w:r>
    </w:p>
    <w:p>
      <w:pPr>
        <w:pStyle w:val="ListParagraph"/>
        <w:numPr>
          <w:ilvl w:val="0"/>
          <w:numId w:val="2"/>
        </w:numPr>
        <w:spacing w:after="60"/>
      </w:pPr>
      <w:r>
        <w:rPr>
          <w:color w:val="374151"/>
          <w:sz w:val="22"/>
          <w:szCs w:val="22"/>
        </w:rPr>
        <w:t xml:space="preserve">Registered patient: referral accessible in mobile app</w:t>
      </w:r>
    </w:p>
    <w:p>
      <w:pPr>
        <w:spacing w:after="80"/>
      </w:pPr>
    </w:p>
    <w:p>
      <w:pPr>
        <w:pStyle w:val="Heading2"/>
        <w:spacing w:after="120" w:before="360"/>
      </w:pPr>
      <w:r>
        <w:t xml:space="preserve">5.6 Built-in Billing &amp; Invoicing</w:t>
      </w:r>
    </w:p>
    <w:p>
      <w:pPr>
        <w:spacing w:after="120"/>
      </w:pPr>
      <w:r>
        <w:rPr>
          <w:color w:val="374151"/>
          <w:sz w:val="22"/>
          <w:szCs w:val="22"/>
        </w:rPr>
        <w:t xml:space="preserve">No external POS application required. Full billing cycle integrated into clinic workflow.</w:t>
      </w:r>
    </w:p>
    <w:p>
      <w:pPr>
        <w:pStyle w:val="ListParagraph"/>
        <w:numPr>
          <w:ilvl w:val="0"/>
          <w:numId w:val="2"/>
        </w:numPr>
        <w:spacing w:after="60"/>
      </w:pPr>
      <w:r>
        <w:rPr>
          <w:color w:val="374151"/>
          <w:sz w:val="22"/>
          <w:szCs w:val="22"/>
        </w:rPr>
        <w:t xml:space="preserve">Line items: biaya konsultasi + biaya obat + biaya tindakan</w:t>
      </w:r>
    </w:p>
    <w:p>
      <w:pPr>
        <w:pStyle w:val="ListParagraph"/>
        <w:numPr>
          <w:ilvl w:val="0"/>
          <w:numId w:val="2"/>
        </w:numPr>
        <w:spacing w:after="60"/>
      </w:pPr>
      <w:r>
        <w:rPr>
          <w:color w:val="374151"/>
          <w:sz w:val="22"/>
          <w:szCs w:val="22"/>
        </w:rPr>
        <w:t xml:space="preserve">Payment methods: Tunai, Transfer, BPJS, Kartu</w:t>
      </w:r>
    </w:p>
    <w:p>
      <w:pPr>
        <w:pStyle w:val="ListParagraph"/>
        <w:numPr>
          <w:ilvl w:val="0"/>
          <w:numId w:val="2"/>
        </w:numPr>
        <w:spacing w:after="60"/>
      </w:pPr>
      <w:r>
        <w:rPr>
          <w:color w:val="374151"/>
          <w:sz w:val="22"/>
          <w:szCs w:val="22"/>
        </w:rPr>
        <w:t xml:space="preserve">Real-time notification to kasir when prescription is ready (WebSocket)</w:t>
      </w:r>
    </w:p>
    <w:p>
      <w:pPr>
        <w:pStyle w:val="ListParagraph"/>
        <w:numPr>
          <w:ilvl w:val="0"/>
          <w:numId w:val="2"/>
        </w:numPr>
        <w:spacing w:after="60"/>
      </w:pPr>
      <w:r>
        <w:rPr>
          <w:color w:val="374151"/>
          <w:sz w:val="22"/>
          <w:szCs w:val="22"/>
        </w:rPr>
        <w:t xml:space="preserve">Auto-generated PDF kwitansi</w:t>
      </w:r>
    </w:p>
    <w:p>
      <w:pPr>
        <w:pStyle w:val="ListParagraph"/>
        <w:numPr>
          <w:ilvl w:val="0"/>
          <w:numId w:val="2"/>
        </w:numPr>
        <w:spacing w:after="60"/>
      </w:pPr>
      <w:r>
        <w:rPr>
          <w:color w:val="374151"/>
          <w:sz w:val="22"/>
          <w:szCs w:val="22"/>
        </w:rPr>
        <w:t xml:space="preserve">Optional WA delivery of receipt to patient</w:t>
      </w:r>
    </w:p>
    <w:p>
      <w:pPr>
        <w:pStyle w:val="ListParagraph"/>
        <w:numPr>
          <w:ilvl w:val="0"/>
          <w:numId w:val="2"/>
        </w:numPr>
        <w:spacing w:after="60"/>
      </w:pPr>
      <w:r>
        <w:rPr>
          <w:color w:val="374151"/>
          <w:sz w:val="22"/>
          <w:szCs w:val="22"/>
        </w:rPr>
        <w:t xml:space="preserve">BPJS claims management</w:t>
      </w:r>
    </w:p>
    <w:p>
      <w:pPr>
        <w:pStyle w:val="ListParagraph"/>
        <w:numPr>
          <w:ilvl w:val="0"/>
          <w:numId w:val="2"/>
        </w:numPr>
        <w:spacing w:after="60"/>
      </w:pPr>
      <w:r>
        <w:rPr>
          <w:color w:val="374151"/>
          <w:sz w:val="22"/>
          <w:szCs w:val="22"/>
        </w:rPr>
        <w:t xml:space="preserve">Financial report per day / per period</w:t>
      </w:r>
    </w:p>
    <w:p>
      <w:pPr>
        <w:spacing w:after="80"/>
      </w:pPr>
    </w:p>
    <w:p>
      <w:pPr>
        <w:pStyle w:val="Heading2"/>
        <w:spacing w:after="120" w:before="360"/>
      </w:pPr>
      <w:r>
        <w:t xml:space="preserve">5.7 3-Layer RBAC System</w:t>
      </w:r>
    </w:p>
    <w:p>
      <w:pPr>
        <w:pStyle w:val="ListParagraph"/>
        <w:numPr>
          <w:ilvl w:val="0"/>
          <w:numId w:val="2"/>
        </w:numPr>
        <w:spacing w:after="60"/>
      </w:pPr>
      <w:r>
        <w:rPr>
          <w:color w:val="374151"/>
          <w:sz w:val="22"/>
          <w:szCs w:val="22"/>
        </w:rPr>
        <w:t xml:space="preserve">Layer 1 — System Permissions: immutable, granular actions defined by Klinikku (view-own-queue, write-rme, process-payment, etc.)</w:t>
      </w:r>
    </w:p>
    <w:p>
      <w:pPr>
        <w:pStyle w:val="ListParagraph"/>
        <w:numPr>
          <w:ilvl w:val="0"/>
          <w:numId w:val="2"/>
        </w:numPr>
        <w:spacing w:after="60"/>
      </w:pPr>
      <w:r>
        <w:rPr>
          <w:color w:val="374151"/>
          <w:sz w:val="22"/>
          <w:szCs w:val="22"/>
        </w:rPr>
        <w:t xml:space="preserve">Layer 2 — Custom Roles per Clinic: owner-defined role templates with custom names and permission sets</w:t>
      </w:r>
    </w:p>
    <w:p>
      <w:pPr>
        <w:pStyle w:val="ListParagraph"/>
        <w:numPr>
          <w:ilvl w:val="0"/>
          <w:numId w:val="2"/>
        </w:numPr>
        <w:spacing w:after="60"/>
      </w:pPr>
      <w:r>
        <w:rPr>
          <w:color w:val="374151"/>
          <w:sz w:val="22"/>
          <w:szCs w:val="22"/>
        </w:rPr>
        <w:t xml:space="preserve">Layer 3 — Per-User Override: grant or revoke specific permissions per individual on top of their assigned role</w:t>
      </w:r>
    </w:p>
    <w:p>
      <w:pPr>
        <w:pStyle w:val="ListParagraph"/>
        <w:numPr>
          <w:ilvl w:val="0"/>
          <w:numId w:val="2"/>
        </w:numPr>
        <w:spacing w:after="60"/>
      </w:pPr>
      <w:r>
        <w:rPr>
          <w:color w:val="374151"/>
          <w:sz w:val="22"/>
          <w:szCs w:val="22"/>
        </w:rPr>
        <w:t xml:space="preserve">Default role presets auto-generated at clinic setup (Dokter Umum, Perawat, Apoteker, Kasir, Admin, Analis Lab)</w:t>
      </w:r>
    </w:p>
    <w:p>
      <w:pPr>
        <w:pStyle w:val="ListParagraph"/>
        <w:numPr>
          <w:ilvl w:val="0"/>
          <w:numId w:val="2"/>
        </w:numPr>
        <w:spacing w:after="60"/>
      </w:pPr>
      <w:r>
        <w:rPr>
          <w:color w:val="374151"/>
          <w:sz w:val="22"/>
          <w:szCs w:val="22"/>
        </w:rPr>
        <w:t xml:space="preserve">Owner can create roles from scratch, duplicate, rename, and assign to staff</w:t>
      </w:r>
    </w:p>
    <w:p>
      <w:pPr>
        <w:spacing w:after="80"/>
      </w:pPr>
    </w:p>
    <w:p>
      <w:pPr>
        <w:pStyle w:val="Heading2"/>
        <w:spacing w:after="120" w:before="360"/>
      </w:pPr>
      <w:r>
        <w:t xml:space="preserve">5.8 AI Administrative Assistant</w:t>
      </w:r>
    </w:p>
    <w:p>
      <w:pPr>
        <w:spacing w:after="120"/>
      </w:pPr>
      <w:r>
        <w:rPr>
          <w:color w:val="374151"/>
          <w:sz w:val="22"/>
          <w:szCs w:val="22"/>
        </w:rPr>
        <w:t xml:space="preserve">Powered by Gemini Flash API. AI assists, never replaces clinical judgment.</w:t>
      </w:r>
    </w:p>
    <w:p>
      <w:pPr>
        <w:pStyle w:val="ListParagraph"/>
        <w:numPr>
          <w:ilvl w:val="0"/>
          <w:numId w:val="2"/>
        </w:numPr>
        <w:spacing w:after="60"/>
      </w:pPr>
      <w:r>
        <w:rPr>
          <w:color w:val="374151"/>
          <w:sz w:val="22"/>
          <w:szCs w:val="22"/>
        </w:rPr>
        <w:t xml:space="preserve">Appointment Reminder Generation: drafts WA message content H-1. Staff must verify and send manually — AI never sends directly.</w:t>
      </w:r>
    </w:p>
    <w:p>
      <w:pPr>
        <w:pStyle w:val="ListParagraph"/>
        <w:numPr>
          <w:ilvl w:val="0"/>
          <w:numId w:val="2"/>
        </w:numPr>
        <w:spacing w:after="60"/>
      </w:pPr>
      <w:r>
        <w:rPr>
          <w:color w:val="374151"/>
          <w:sz w:val="22"/>
          <w:szCs w:val="22"/>
        </w:rPr>
        <w:t xml:space="preserve">Form Pre-fill: pre-fills returning patient registration form from history. Staff must verify before saving — no auto-save.</w:t>
      </w:r>
    </w:p>
    <w:p>
      <w:pPr>
        <w:pStyle w:val="ListParagraph"/>
        <w:numPr>
          <w:ilvl w:val="0"/>
          <w:numId w:val="2"/>
        </w:numPr>
        <w:spacing w:after="60"/>
      </w:pPr>
      <w:r>
        <w:rPr>
          <w:color w:val="374151"/>
          <w:sz w:val="22"/>
          <w:szCs w:val="22"/>
        </w:rPr>
        <w:t xml:space="preserve">Daily Report Compilation: formats operational summary from entered data. All clinical content entered by doctors only.</w:t>
      </w:r>
    </w:p>
    <w:p>
      <w:r>
        <w:br w:type="page"/>
      </w:r>
    </w:p>
    <w:p>
      <w:pPr>
        <w:pStyle w:val="Heading1"/>
        <w:pBdr>
          <w:bottom w:val="single" w:color="0D9488" w:sz="4"/>
        </w:pBdr>
        <w:spacing w:after="160" w:before="480"/>
      </w:pPr>
      <w:r>
        <w:t xml:space="preserve">6. Success Metrics</w:t>
      </w:r>
    </w:p>
    <w:p>
      <w:pPr>
        <w:spacing w:after="120"/>
      </w:pPr>
      <w:r>
        <w:rPr>
          <w:color w:val="374151"/>
          <w:sz w:val="22"/>
          <w:szCs w:val="22"/>
        </w:rPr>
        <w:t xml:space="preserve">Metrics are divided into two categories with explicit separation: demo-verifiable technical metrics (measurable and screenshottable from production tooling) and aspirational product outcome metrics (design targets, not verified against real users in v1 portfolio demo).</w:t>
      </w:r>
    </w:p>
    <w:p>
      <w:pPr>
        <w:spacing w:after="80"/>
      </w:pPr>
    </w:p>
    <w:p>
      <w:pPr>
        <w:pStyle w:val="Heading2"/>
        <w:spacing w:after="120" w:before="360"/>
      </w:pPr>
      <w:r>
        <w:t xml:space="preserve">6.1 Technical Performance Metrics</w:t>
      </w:r>
    </w:p>
    <w:p>
      <w:pPr>
        <w:spacing w:after="120"/>
      </w:pPr>
      <w:r>
        <w:rPr>
          <w:color w:val="374151"/>
          <w:sz w:val="22"/>
          <w:szCs w:val="22"/>
        </w:rPr>
        <w:t xml:space="preserve">All metrics below are verifiable from k6 load test reports, GitHub Actions logs, and Lighthouse audits. Screenshots included in project README.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0D9488" w:val="clear"/>
            <w:tcMar>
              <w:top w:type="dxa" w:w="80"/>
              <w:left w:type="dxa" w:w="120"/>
              <w:bottom w:type="dxa" w:w="80"/>
              <w:right w:type="dxa" w:w="120"/>
            </w:tcMar>
          </w:tcPr>
          <w:p>
            <w:r>
              <w:rPr>
                <w:b/>
                <w:bCs/>
                <w:color w:val="FFFFFF"/>
                <w:sz w:val="20"/>
                <w:szCs w:val="20"/>
              </w:rPr>
              <w:t xml:space="preserve">Metric</w:t>
            </w:r>
          </w:p>
        </w:tc>
        <w:tc>
          <w:tcPr>
            <w:tcW w:type="dxa" w:w="2200"/>
            <w:shd w:fill="0D9488" w:val="clear"/>
            <w:tcMar>
              <w:top w:type="dxa" w:w="80"/>
              <w:left w:type="dxa" w:w="120"/>
              <w:bottom w:type="dxa" w:w="80"/>
              <w:right w:type="dxa" w:w="120"/>
            </w:tcMar>
          </w:tcPr>
          <w:p>
            <w:r>
              <w:rPr>
                <w:b/>
                <w:bCs/>
                <w:color w:val="FFFFFF"/>
                <w:sz w:val="20"/>
                <w:szCs w:val="20"/>
              </w:rPr>
              <w:t xml:space="preserve">Target</w:t>
            </w:r>
          </w:p>
        </w:tc>
        <w:tc>
          <w:tcPr>
            <w:tcW w:type="dxa" w:w="3660"/>
            <w:shd w:fill="0D9488" w:val="clear"/>
            <w:tcMar>
              <w:top w:type="dxa" w:w="80"/>
              <w:left w:type="dxa" w:w="120"/>
              <w:bottom w:type="dxa" w:w="80"/>
              <w:right w:type="dxa" w:w="120"/>
            </w:tcMar>
          </w:tcPr>
          <w:p>
            <w:r>
              <w:rPr>
                <w:b/>
                <w:bCs/>
                <w:color w:val="FFFFFF"/>
                <w:sz w:val="20"/>
                <w:szCs w:val="20"/>
              </w:rPr>
              <w:t xml:space="preserve">Verification Method</w:t>
            </w:r>
          </w:p>
        </w:tc>
      </w:tr>
      <w:tr>
        <w:tc>
          <w:tcPr>
            <w:tcW w:type="dxa" w:w="3500"/>
            <w:tcMar>
              <w:top w:type="dxa" w:w="80"/>
              <w:left w:type="dxa" w:w="120"/>
              <w:bottom w:type="dxa" w:w="80"/>
              <w:right w:type="dxa" w:w="120"/>
            </w:tcMar>
          </w:tcPr>
          <w:p>
            <w:r>
              <w:rPr>
                <w:color w:val="374151"/>
                <w:sz w:val="20"/>
                <w:szCs w:val="20"/>
              </w:rPr>
              <w:t xml:space="preserve">API read latency p50</w:t>
            </w:r>
          </w:p>
        </w:tc>
        <w:tc>
          <w:tcPr>
            <w:tcW w:type="dxa" w:w="2200"/>
            <w:shd w:fill="F0FDFA" w:val="clear"/>
            <w:tcMar>
              <w:top w:type="dxa" w:w="80"/>
              <w:left w:type="dxa" w:w="120"/>
              <w:bottom w:type="dxa" w:w="80"/>
              <w:right w:type="dxa" w:w="120"/>
            </w:tcMar>
          </w:tcPr>
          <w:p>
            <w:r>
              <w:rPr>
                <w:b/>
                <w:bCs/>
                <w:color w:val="134E4A"/>
                <w:sz w:val="20"/>
                <w:szCs w:val="20"/>
              </w:rPr>
              <w:t xml:space="preserve">&lt; 100ms</w:t>
            </w:r>
          </w:p>
        </w:tc>
        <w:tc>
          <w:tcPr>
            <w:tcW w:type="dxa" w:w="3660"/>
            <w:tcMar>
              <w:top w:type="dxa" w:w="80"/>
              <w:left w:type="dxa" w:w="120"/>
              <w:bottom w:type="dxa" w:w="80"/>
              <w:right w:type="dxa" w:w="120"/>
            </w:tcMar>
          </w:tcPr>
          <w:p>
            <w:r>
              <w:rPr>
                <w:color w:val="6B7280"/>
                <w:sz w:val="20"/>
                <w:szCs w:val="20"/>
              </w:rPr>
              <w:t xml:space="preserve">k6 load test report</w:t>
            </w:r>
          </w:p>
        </w:tc>
      </w:tr>
      <w:tr>
        <w:tc>
          <w:tcPr>
            <w:tcW w:type="dxa" w:w="3500"/>
            <w:tcMar>
              <w:top w:type="dxa" w:w="80"/>
              <w:left w:type="dxa" w:w="120"/>
              <w:bottom w:type="dxa" w:w="80"/>
              <w:right w:type="dxa" w:w="120"/>
            </w:tcMar>
          </w:tcPr>
          <w:p>
            <w:r>
              <w:rPr>
                <w:color w:val="374151"/>
                <w:sz w:val="20"/>
                <w:szCs w:val="20"/>
              </w:rPr>
              <w:t xml:space="preserve">API read latency p95</w:t>
            </w:r>
          </w:p>
        </w:tc>
        <w:tc>
          <w:tcPr>
            <w:tcW w:type="dxa" w:w="2200"/>
            <w:shd w:fill="F0FDFA" w:val="clear"/>
            <w:tcMar>
              <w:top w:type="dxa" w:w="80"/>
              <w:left w:type="dxa" w:w="120"/>
              <w:bottom w:type="dxa" w:w="80"/>
              <w:right w:type="dxa" w:w="120"/>
            </w:tcMar>
          </w:tcPr>
          <w:p>
            <w:r>
              <w:rPr>
                <w:b/>
                <w:bCs/>
                <w:color w:val="134E4A"/>
                <w:sz w:val="20"/>
                <w:szCs w:val="20"/>
              </w:rPr>
              <w:t xml:space="preserve">&lt; 200ms</w:t>
            </w:r>
          </w:p>
        </w:tc>
        <w:tc>
          <w:tcPr>
            <w:tcW w:type="dxa" w:w="3660"/>
            <w:tcMar>
              <w:top w:type="dxa" w:w="80"/>
              <w:left w:type="dxa" w:w="120"/>
              <w:bottom w:type="dxa" w:w="80"/>
              <w:right w:type="dxa" w:w="120"/>
            </w:tcMar>
          </w:tcPr>
          <w:p>
            <w:r>
              <w:rPr>
                <w:color w:val="6B7280"/>
                <w:sz w:val="20"/>
                <w:szCs w:val="20"/>
              </w:rPr>
              <w:t xml:space="preserve">k6 load test report</w:t>
            </w:r>
          </w:p>
        </w:tc>
      </w:tr>
      <w:tr>
        <w:tc>
          <w:tcPr>
            <w:tcW w:type="dxa" w:w="3500"/>
            <w:tcMar>
              <w:top w:type="dxa" w:w="80"/>
              <w:left w:type="dxa" w:w="120"/>
              <w:bottom w:type="dxa" w:w="80"/>
              <w:right w:type="dxa" w:w="120"/>
            </w:tcMar>
          </w:tcPr>
          <w:p>
            <w:r>
              <w:rPr>
                <w:color w:val="374151"/>
                <w:sz w:val="20"/>
                <w:szCs w:val="20"/>
              </w:rPr>
              <w:t xml:space="preserve">API write latency p99</w:t>
            </w:r>
          </w:p>
        </w:tc>
        <w:tc>
          <w:tcPr>
            <w:tcW w:type="dxa" w:w="2200"/>
            <w:shd w:fill="F0FDFA" w:val="clear"/>
            <w:tcMar>
              <w:top w:type="dxa" w:w="80"/>
              <w:left w:type="dxa" w:w="120"/>
              <w:bottom w:type="dxa" w:w="80"/>
              <w:right w:type="dxa" w:w="120"/>
            </w:tcMar>
          </w:tcPr>
          <w:p>
            <w:r>
              <w:rPr>
                <w:b/>
                <w:bCs/>
                <w:color w:val="134E4A"/>
                <w:sz w:val="20"/>
                <w:szCs w:val="20"/>
              </w:rPr>
              <w:t xml:space="preserve">&lt; 500ms</w:t>
            </w:r>
          </w:p>
        </w:tc>
        <w:tc>
          <w:tcPr>
            <w:tcW w:type="dxa" w:w="3660"/>
            <w:tcMar>
              <w:top w:type="dxa" w:w="80"/>
              <w:left w:type="dxa" w:w="120"/>
              <w:bottom w:type="dxa" w:w="80"/>
              <w:right w:type="dxa" w:w="120"/>
            </w:tcMar>
          </w:tcPr>
          <w:p>
            <w:r>
              <w:rPr>
                <w:color w:val="6B7280"/>
                <w:sz w:val="20"/>
                <w:szCs w:val="20"/>
              </w:rPr>
              <w:t xml:space="preserve">k6 load test report</w:t>
            </w:r>
          </w:p>
        </w:tc>
      </w:tr>
      <w:tr>
        <w:tc>
          <w:tcPr>
            <w:tcW w:type="dxa" w:w="3500"/>
            <w:tcMar>
              <w:top w:type="dxa" w:w="80"/>
              <w:left w:type="dxa" w:w="120"/>
              <w:bottom w:type="dxa" w:w="80"/>
              <w:right w:type="dxa" w:w="120"/>
            </w:tcMar>
          </w:tcPr>
          <w:p>
            <w:r>
              <w:rPr>
                <w:color w:val="374151"/>
                <w:sz w:val="20"/>
                <w:szCs w:val="20"/>
              </w:rPr>
              <w:t xml:space="preserve">WebSocket queue update</w:t>
            </w:r>
          </w:p>
        </w:tc>
        <w:tc>
          <w:tcPr>
            <w:tcW w:type="dxa" w:w="2200"/>
            <w:shd w:fill="F0FDFA" w:val="clear"/>
            <w:tcMar>
              <w:top w:type="dxa" w:w="80"/>
              <w:left w:type="dxa" w:w="120"/>
              <w:bottom w:type="dxa" w:w="80"/>
              <w:right w:type="dxa" w:w="120"/>
            </w:tcMar>
          </w:tcPr>
          <w:p>
            <w:r>
              <w:rPr>
                <w:b/>
                <w:bCs/>
                <w:color w:val="134E4A"/>
                <w:sz w:val="20"/>
                <w:szCs w:val="20"/>
              </w:rPr>
              <w:t xml:space="preserve">&lt; 500ms</w:t>
            </w:r>
          </w:p>
        </w:tc>
        <w:tc>
          <w:tcPr>
            <w:tcW w:type="dxa" w:w="3660"/>
            <w:tcMar>
              <w:top w:type="dxa" w:w="80"/>
              <w:left w:type="dxa" w:w="120"/>
              <w:bottom w:type="dxa" w:w="80"/>
              <w:right w:type="dxa" w:w="120"/>
            </w:tcMar>
          </w:tcPr>
          <w:p>
            <w:r>
              <w:rPr>
                <w:color w:val="6B7280"/>
                <w:sz w:val="20"/>
                <w:szCs w:val="20"/>
              </w:rPr>
              <w:t xml:space="preserve">Browser DevTools / k6 WebSocket</w:t>
            </w:r>
          </w:p>
        </w:tc>
      </w:tr>
      <w:tr>
        <w:tc>
          <w:tcPr>
            <w:tcW w:type="dxa" w:w="3500"/>
            <w:tcMar>
              <w:top w:type="dxa" w:w="80"/>
              <w:left w:type="dxa" w:w="120"/>
              <w:bottom w:type="dxa" w:w="80"/>
              <w:right w:type="dxa" w:w="120"/>
            </w:tcMar>
          </w:tcPr>
          <w:p>
            <w:r>
              <w:rPr>
                <w:color w:val="374151"/>
                <w:sz w:val="20"/>
                <w:szCs w:val="20"/>
              </w:rPr>
              <w:t xml:space="preserve">WA notification delivery</w:t>
            </w:r>
          </w:p>
        </w:tc>
        <w:tc>
          <w:tcPr>
            <w:tcW w:type="dxa" w:w="2200"/>
            <w:shd w:fill="F0FDFA" w:val="clear"/>
            <w:tcMar>
              <w:top w:type="dxa" w:w="80"/>
              <w:left w:type="dxa" w:w="120"/>
              <w:bottom w:type="dxa" w:w="80"/>
              <w:right w:type="dxa" w:w="120"/>
            </w:tcMar>
          </w:tcPr>
          <w:p>
            <w:r>
              <w:rPr>
                <w:b/>
                <w:bCs/>
                <w:color w:val="134E4A"/>
                <w:sz w:val="20"/>
                <w:szCs w:val="20"/>
              </w:rPr>
              <w:t xml:space="preserve">&lt; 5 seconds</w:t>
            </w:r>
          </w:p>
        </w:tc>
        <w:tc>
          <w:tcPr>
            <w:tcW w:type="dxa" w:w="3660"/>
            <w:tcMar>
              <w:top w:type="dxa" w:w="80"/>
              <w:left w:type="dxa" w:w="120"/>
              <w:bottom w:type="dxa" w:w="80"/>
              <w:right w:type="dxa" w:w="120"/>
            </w:tcMar>
          </w:tcPr>
          <w:p>
            <w:r>
              <w:rPr>
                <w:color w:val="6B7280"/>
                <w:sz w:val="20"/>
                <w:szCs w:val="20"/>
              </w:rPr>
              <w:t xml:space="preserve">Fonnte delivery log</w:t>
            </w:r>
          </w:p>
        </w:tc>
      </w:tr>
      <w:tr>
        <w:tc>
          <w:tcPr>
            <w:tcW w:type="dxa" w:w="3500"/>
            <w:tcMar>
              <w:top w:type="dxa" w:w="80"/>
              <w:left w:type="dxa" w:w="120"/>
              <w:bottom w:type="dxa" w:w="80"/>
              <w:right w:type="dxa" w:w="120"/>
            </w:tcMar>
          </w:tcPr>
          <w:p>
            <w:r>
              <w:rPr>
                <w:color w:val="374151"/>
                <w:sz w:val="20"/>
                <w:szCs w:val="20"/>
              </w:rPr>
              <w:t xml:space="preserve">Test coverage (Pest v5)</w:t>
            </w:r>
          </w:p>
        </w:tc>
        <w:tc>
          <w:tcPr>
            <w:tcW w:type="dxa" w:w="2200"/>
            <w:shd w:fill="F0FDFA" w:val="clear"/>
            <w:tcMar>
              <w:top w:type="dxa" w:w="80"/>
              <w:left w:type="dxa" w:w="120"/>
              <w:bottom w:type="dxa" w:w="80"/>
              <w:right w:type="dxa" w:w="120"/>
            </w:tcMar>
          </w:tcPr>
          <w:p>
            <w:r>
              <w:rPr>
                <w:b/>
                <w:bCs/>
                <w:color w:val="134E4A"/>
                <w:sz w:val="20"/>
                <w:szCs w:val="20"/>
              </w:rPr>
              <w:t xml:space="preserve">≥ 70%</w:t>
            </w:r>
          </w:p>
        </w:tc>
        <w:tc>
          <w:tcPr>
            <w:tcW w:type="dxa" w:w="3660"/>
            <w:tcMar>
              <w:top w:type="dxa" w:w="80"/>
              <w:left w:type="dxa" w:w="120"/>
              <w:bottom w:type="dxa" w:w="80"/>
              <w:right w:type="dxa" w:w="120"/>
            </w:tcMar>
          </w:tcPr>
          <w:p>
            <w:r>
              <w:rPr>
                <w:color w:val="6B7280"/>
                <w:sz w:val="20"/>
                <w:szCs w:val="20"/>
              </w:rPr>
              <w:t xml:space="preserve">GitHub Actions CI report</w:t>
            </w:r>
          </w:p>
        </w:tc>
      </w:tr>
      <w:tr>
        <w:tc>
          <w:tcPr>
            <w:tcW w:type="dxa" w:w="3500"/>
            <w:tcMar>
              <w:top w:type="dxa" w:w="80"/>
              <w:left w:type="dxa" w:w="120"/>
              <w:bottom w:type="dxa" w:w="80"/>
              <w:right w:type="dxa" w:w="120"/>
            </w:tcMar>
          </w:tcPr>
          <w:p>
            <w:r>
              <w:rPr>
                <w:color w:val="374151"/>
                <w:sz w:val="20"/>
                <w:szCs w:val="20"/>
              </w:rPr>
              <w:t xml:space="preserve">CI/CD pipeline duration</w:t>
            </w:r>
          </w:p>
        </w:tc>
        <w:tc>
          <w:tcPr>
            <w:tcW w:type="dxa" w:w="2200"/>
            <w:shd w:fill="F0FDFA" w:val="clear"/>
            <w:tcMar>
              <w:top w:type="dxa" w:w="80"/>
              <w:left w:type="dxa" w:w="120"/>
              <w:bottom w:type="dxa" w:w="80"/>
              <w:right w:type="dxa" w:w="120"/>
            </w:tcMar>
          </w:tcPr>
          <w:p>
            <w:r>
              <w:rPr>
                <w:b/>
                <w:bCs/>
                <w:color w:val="134E4A"/>
                <w:sz w:val="20"/>
                <w:szCs w:val="20"/>
              </w:rPr>
              <w:t xml:space="preserve">&lt; 5 minutes</w:t>
            </w:r>
          </w:p>
        </w:tc>
        <w:tc>
          <w:tcPr>
            <w:tcW w:type="dxa" w:w="3660"/>
            <w:tcMar>
              <w:top w:type="dxa" w:w="80"/>
              <w:left w:type="dxa" w:w="120"/>
              <w:bottom w:type="dxa" w:w="80"/>
              <w:right w:type="dxa" w:w="120"/>
            </w:tcMar>
          </w:tcPr>
          <w:p>
            <w:r>
              <w:rPr>
                <w:color w:val="6B7280"/>
                <w:sz w:val="20"/>
                <w:szCs w:val="20"/>
              </w:rPr>
              <w:t xml:space="preserve">GitHub Actions log</w:t>
            </w:r>
          </w:p>
        </w:tc>
      </w:tr>
      <w:tr>
        <w:tc>
          <w:tcPr>
            <w:tcW w:type="dxa" w:w="3500"/>
            <w:tcMar>
              <w:top w:type="dxa" w:w="80"/>
              <w:left w:type="dxa" w:w="120"/>
              <w:bottom w:type="dxa" w:w="80"/>
              <w:right w:type="dxa" w:w="120"/>
            </w:tcMar>
          </w:tcPr>
          <w:p>
            <w:r>
              <w:rPr>
                <w:color w:val="374151"/>
                <w:sz w:val="20"/>
                <w:szCs w:val="20"/>
              </w:rPr>
              <w:t xml:space="preserve">Lighthouse Performance</w:t>
            </w:r>
          </w:p>
        </w:tc>
        <w:tc>
          <w:tcPr>
            <w:tcW w:type="dxa" w:w="2200"/>
            <w:shd w:fill="F0FDFA" w:val="clear"/>
            <w:tcMar>
              <w:top w:type="dxa" w:w="80"/>
              <w:left w:type="dxa" w:w="120"/>
              <w:bottom w:type="dxa" w:w="80"/>
              <w:right w:type="dxa" w:w="120"/>
            </w:tcMar>
          </w:tcPr>
          <w:p>
            <w:r>
              <w:rPr>
                <w:b/>
                <w:bCs/>
                <w:color w:val="134E4A"/>
                <w:sz w:val="20"/>
                <w:szCs w:val="20"/>
              </w:rPr>
              <w:t xml:space="preserve">≥ 90 (desktop)</w:t>
            </w:r>
          </w:p>
        </w:tc>
        <w:tc>
          <w:tcPr>
            <w:tcW w:type="dxa" w:w="3660"/>
            <w:tcMar>
              <w:top w:type="dxa" w:w="80"/>
              <w:left w:type="dxa" w:w="120"/>
              <w:bottom w:type="dxa" w:w="80"/>
              <w:right w:type="dxa" w:w="120"/>
            </w:tcMar>
          </w:tcPr>
          <w:p>
            <w:r>
              <w:rPr>
                <w:color w:val="6B7280"/>
                <w:sz w:val="20"/>
                <w:szCs w:val="20"/>
              </w:rPr>
              <w:t xml:space="preserve">Lighthouse audit screenshot</w:t>
            </w:r>
          </w:p>
        </w:tc>
      </w:tr>
      <w:tr>
        <w:tc>
          <w:tcPr>
            <w:tcW w:type="dxa" w:w="3500"/>
            <w:tcMar>
              <w:top w:type="dxa" w:w="80"/>
              <w:left w:type="dxa" w:w="120"/>
              <w:bottom w:type="dxa" w:w="80"/>
              <w:right w:type="dxa" w:w="120"/>
            </w:tcMar>
          </w:tcPr>
          <w:p>
            <w:r>
              <w:rPr>
                <w:color w:val="374151"/>
                <w:sz w:val="20"/>
                <w:szCs w:val="20"/>
              </w:rPr>
              <w:t xml:space="preserve">Concurrent users per clinic</w:t>
            </w:r>
          </w:p>
        </w:tc>
        <w:tc>
          <w:tcPr>
            <w:tcW w:type="dxa" w:w="2200"/>
            <w:shd w:fill="F0FDFA" w:val="clear"/>
            <w:tcMar>
              <w:top w:type="dxa" w:w="80"/>
              <w:left w:type="dxa" w:w="120"/>
              <w:bottom w:type="dxa" w:w="80"/>
              <w:right w:type="dxa" w:w="120"/>
            </w:tcMar>
          </w:tcPr>
          <w:p>
            <w:r>
              <w:rPr>
                <w:b/>
                <w:bCs/>
                <w:color w:val="134E4A"/>
                <w:sz w:val="20"/>
                <w:szCs w:val="20"/>
              </w:rPr>
              <w:t xml:space="preserve">50</w:t>
            </w:r>
          </w:p>
        </w:tc>
        <w:tc>
          <w:tcPr>
            <w:tcW w:type="dxa" w:w="3660"/>
            <w:tcMar>
              <w:top w:type="dxa" w:w="80"/>
              <w:left w:type="dxa" w:w="120"/>
              <w:bottom w:type="dxa" w:w="80"/>
              <w:right w:type="dxa" w:w="120"/>
            </w:tcMar>
          </w:tcPr>
          <w:p>
            <w:r>
              <w:rPr>
                <w:color w:val="6B7280"/>
                <w:sz w:val="20"/>
                <w:szCs w:val="20"/>
              </w:rPr>
              <w:t xml:space="preserve">k6 scenario test</w:t>
            </w:r>
          </w:p>
        </w:tc>
      </w:tr>
    </w:tbl>
    <w:p>
      <w:pPr>
        <w:spacing w:after="80"/>
      </w:pPr>
    </w:p>
    <w:p>
      <w:pPr>
        <w:pStyle w:val="Heading2"/>
        <w:spacing w:after="120" w:before="360"/>
      </w:pPr>
      <w:r>
        <w:t xml:space="preserve">6.2 Product Outcome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FFBEB" w:val="clear"/>
            <w:tcMar>
              <w:top w:type="dxa" w:w="120"/>
              <w:left w:type="dxa" w:w="160"/>
              <w:bottom w:type="dxa" w:w="120"/>
              <w:right w:type="dxa" w:w="160"/>
            </w:tcMar>
          </w:tcPr>
          <w:p>
            <w:pPr>
              <w:spacing w:after="80"/>
            </w:pPr>
            <w:r>
              <w:rPr>
                <w:b/>
                <w:bCs/>
                <w:color w:val="B45309"/>
                <w:sz w:val="20"/>
                <w:szCs w:val="20"/>
              </w:rPr>
              <w:t xml:space="preserve">⚠️  Design Targets — Not Verified Against Real Users</w:t>
            </w:r>
          </w:p>
          <w:p>
            <w:pPr>
              <w:spacing w:after="0"/>
            </w:pPr>
            <w:r>
              <w:rPr>
                <w:color w:val="374151"/>
                <w:sz w:val="20"/>
                <w:szCs w:val="20"/>
              </w:rPr>
              <w:t xml:space="preserve">These metrics represent the outcomes Klinikku is designed to produce. They are documented here as product design targets and will be validated in production post-launch. They are not claimed as measured results from the portfolio demo.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0D9488" w:val="clear"/>
            <w:tcMar>
              <w:top w:type="dxa" w:w="80"/>
              <w:left w:type="dxa" w:w="120"/>
              <w:bottom w:type="dxa" w:w="80"/>
              <w:right w:type="dxa" w:w="120"/>
            </w:tcMar>
          </w:tcPr>
          <w:p>
            <w:r>
              <w:rPr>
                <w:b/>
                <w:bCs/>
                <w:color w:val="FFFFFF"/>
                <w:sz w:val="20"/>
                <w:szCs w:val="20"/>
              </w:rPr>
              <w:t xml:space="preserve">Outcome</w:t>
            </w:r>
          </w:p>
        </w:tc>
        <w:tc>
          <w:tcPr>
            <w:tcW w:type="dxa" w:w="2000"/>
            <w:shd w:fill="0D9488" w:val="clear"/>
            <w:tcMar>
              <w:top w:type="dxa" w:w="80"/>
              <w:left w:type="dxa" w:w="120"/>
              <w:bottom w:type="dxa" w:w="80"/>
              <w:right w:type="dxa" w:w="120"/>
            </w:tcMar>
          </w:tcPr>
          <w:p>
            <w:r>
              <w:rPr>
                <w:b/>
                <w:bCs/>
                <w:color w:val="FFFFFF"/>
                <w:sz w:val="20"/>
                <w:szCs w:val="20"/>
              </w:rPr>
              <w:t xml:space="preserve">Target</w:t>
            </w:r>
          </w:p>
        </w:tc>
        <w:tc>
          <w:tcPr>
            <w:tcW w:type="dxa" w:w="3360"/>
            <w:shd w:fill="0D9488" w:val="clear"/>
            <w:tcMar>
              <w:top w:type="dxa" w:w="80"/>
              <w:left w:type="dxa" w:w="120"/>
              <w:bottom w:type="dxa" w:w="80"/>
              <w:right w:type="dxa" w:w="120"/>
            </w:tcMar>
          </w:tcPr>
          <w:p>
            <w:r>
              <w:rPr>
                <w:b/>
                <w:bCs/>
                <w:color w:val="FFFFFF"/>
                <w:sz w:val="20"/>
                <w:szCs w:val="20"/>
              </w:rPr>
              <w:t xml:space="preserve">Design Decision That Enables This</w:t>
            </w:r>
          </w:p>
        </w:tc>
      </w:tr>
      <w:tr>
        <w:tc>
          <w:tcPr>
            <w:tcW w:type="dxa" w:w="4000"/>
            <w:tcMar>
              <w:top w:type="dxa" w:w="80"/>
              <w:left w:type="dxa" w:w="120"/>
              <w:bottom w:type="dxa" w:w="80"/>
              <w:right w:type="dxa" w:w="120"/>
            </w:tcMar>
          </w:tcPr>
          <w:p>
            <w:r>
              <w:rPr>
                <w:color w:val="374151"/>
                <w:sz w:val="20"/>
                <w:szCs w:val="20"/>
              </w:rPr>
              <w:t xml:space="preserve">Clinic onboarding time</w:t>
            </w:r>
          </w:p>
        </w:tc>
        <w:tc>
          <w:tcPr>
            <w:tcW w:type="dxa" w:w="2000"/>
            <w:shd w:fill="F0FDFA" w:val="clear"/>
            <w:tcMar>
              <w:top w:type="dxa" w:w="80"/>
              <w:left w:type="dxa" w:w="120"/>
              <w:bottom w:type="dxa" w:w="80"/>
              <w:right w:type="dxa" w:w="120"/>
            </w:tcMar>
          </w:tcPr>
          <w:p>
            <w:r>
              <w:rPr>
                <w:b/>
                <w:bCs/>
                <w:color w:val="134E4A"/>
                <w:sz w:val="20"/>
                <w:szCs w:val="20"/>
              </w:rPr>
              <w:t xml:space="preserve">&lt; 30 minutes</w:t>
            </w:r>
          </w:p>
        </w:tc>
        <w:tc>
          <w:tcPr>
            <w:tcW w:type="dxa" w:w="3360"/>
            <w:tcMar>
              <w:top w:type="dxa" w:w="80"/>
              <w:left w:type="dxa" w:w="120"/>
              <w:bottom w:type="dxa" w:w="80"/>
              <w:right w:type="dxa" w:w="120"/>
            </w:tcMar>
          </w:tcPr>
          <w:p>
            <w:r>
              <w:rPr>
                <w:color w:val="6B7280"/>
                <w:sz w:val="20"/>
                <w:szCs w:val="20"/>
              </w:rPr>
              <w:t xml:space="preserve">Auto-configured feature flags at registration; pre-seeded role presets</w:t>
            </w:r>
          </w:p>
        </w:tc>
      </w:tr>
      <w:tr>
        <w:tc>
          <w:tcPr>
            <w:tcW w:type="dxa" w:w="4000"/>
            <w:tcMar>
              <w:top w:type="dxa" w:w="80"/>
              <w:left w:type="dxa" w:w="120"/>
              <w:bottom w:type="dxa" w:w="80"/>
              <w:right w:type="dxa" w:w="120"/>
            </w:tcMar>
          </w:tcPr>
          <w:p>
            <w:r>
              <w:rPr>
                <w:color w:val="374151"/>
                <w:sz w:val="20"/>
                <w:szCs w:val="20"/>
              </w:rPr>
              <w:t xml:space="preserve">Staff operational without training</w:t>
            </w:r>
          </w:p>
        </w:tc>
        <w:tc>
          <w:tcPr>
            <w:tcW w:type="dxa" w:w="2000"/>
            <w:shd w:fill="F0FDFA" w:val="clear"/>
            <w:tcMar>
              <w:top w:type="dxa" w:w="80"/>
              <w:left w:type="dxa" w:w="120"/>
              <w:bottom w:type="dxa" w:w="80"/>
              <w:right w:type="dxa" w:w="120"/>
            </w:tcMar>
          </w:tcPr>
          <w:p>
            <w:r>
              <w:rPr>
                <w:b/>
                <w:bCs/>
                <w:color w:val="134E4A"/>
                <w:sz w:val="20"/>
                <w:szCs w:val="20"/>
              </w:rPr>
              <w:t xml:space="preserve">&lt; 1 hour</w:t>
            </w:r>
          </w:p>
        </w:tc>
        <w:tc>
          <w:tcPr>
            <w:tcW w:type="dxa" w:w="3360"/>
            <w:tcMar>
              <w:top w:type="dxa" w:w="80"/>
              <w:left w:type="dxa" w:w="120"/>
              <w:bottom w:type="dxa" w:w="80"/>
              <w:right w:type="dxa" w:w="120"/>
            </w:tcMar>
          </w:tcPr>
          <w:p>
            <w:r>
              <w:rPr>
                <w:color w:val="6B7280"/>
                <w:sz w:val="20"/>
                <w:szCs w:val="20"/>
              </w:rPr>
              <w:t xml:space="preserve">Role-specific dashboards; only relevant features visible per role</w:t>
            </w:r>
          </w:p>
        </w:tc>
      </w:tr>
      <w:tr>
        <w:tc>
          <w:tcPr>
            <w:tcW w:type="dxa" w:w="4000"/>
            <w:tcMar>
              <w:top w:type="dxa" w:w="80"/>
              <w:left w:type="dxa" w:w="120"/>
              <w:bottom w:type="dxa" w:w="80"/>
              <w:right w:type="dxa" w:w="120"/>
            </w:tcMar>
          </w:tcPr>
          <w:p>
            <w:r>
              <w:rPr>
                <w:color w:val="374151"/>
                <w:sz w:val="20"/>
                <w:szCs w:val="20"/>
              </w:rPr>
              <w:t xml:space="preserve">Queue wait time reduction vs manual</w:t>
            </w:r>
          </w:p>
        </w:tc>
        <w:tc>
          <w:tcPr>
            <w:tcW w:type="dxa" w:w="2000"/>
            <w:shd w:fill="F0FDFA" w:val="clear"/>
            <w:tcMar>
              <w:top w:type="dxa" w:w="80"/>
              <w:left w:type="dxa" w:w="120"/>
              <w:bottom w:type="dxa" w:w="80"/>
              <w:right w:type="dxa" w:w="120"/>
            </w:tcMar>
          </w:tcPr>
          <w:p>
            <w:r>
              <w:rPr>
                <w:b/>
                <w:bCs/>
                <w:color w:val="134E4A"/>
                <w:sz w:val="20"/>
                <w:szCs w:val="20"/>
              </w:rPr>
              <w:t xml:space="preserve">Est. −40%</w:t>
            </w:r>
          </w:p>
        </w:tc>
        <w:tc>
          <w:tcPr>
            <w:tcW w:type="dxa" w:w="3360"/>
            <w:tcMar>
              <w:top w:type="dxa" w:w="80"/>
              <w:left w:type="dxa" w:w="120"/>
              <w:bottom w:type="dxa" w:w="80"/>
              <w:right w:type="dxa" w:w="120"/>
            </w:tcMar>
          </w:tcPr>
          <w:p>
            <w:r>
              <w:rPr>
                <w:color w:val="6B7280"/>
                <w:sz w:val="20"/>
                <w:szCs w:val="20"/>
              </w:rPr>
              <w:t xml:space="preserve">WA reminders reduce lobby crowding; online queue reduces early arrivals</w:t>
            </w:r>
          </w:p>
        </w:tc>
      </w:tr>
      <w:tr>
        <w:tc>
          <w:tcPr>
            <w:tcW w:type="dxa" w:w="4000"/>
            <w:tcMar>
              <w:top w:type="dxa" w:w="80"/>
              <w:left w:type="dxa" w:w="120"/>
              <w:bottom w:type="dxa" w:w="80"/>
              <w:right w:type="dxa" w:w="120"/>
            </w:tcMar>
          </w:tcPr>
          <w:p>
            <w:r>
              <w:rPr>
                <w:color w:val="374151"/>
                <w:sz w:val="20"/>
                <w:szCs w:val="20"/>
              </w:rPr>
              <w:t xml:space="preserve">Guest WA delivery post-registration</w:t>
            </w:r>
          </w:p>
        </w:tc>
        <w:tc>
          <w:tcPr>
            <w:tcW w:type="dxa" w:w="2000"/>
            <w:shd w:fill="F0FDFA" w:val="clear"/>
            <w:tcMar>
              <w:top w:type="dxa" w:w="80"/>
              <w:left w:type="dxa" w:w="120"/>
              <w:bottom w:type="dxa" w:w="80"/>
              <w:right w:type="dxa" w:w="120"/>
            </w:tcMar>
          </w:tcPr>
          <w:p>
            <w:r>
              <w:rPr>
                <w:b/>
                <w:bCs/>
                <w:color w:val="134E4A"/>
                <w:sz w:val="20"/>
                <w:szCs w:val="20"/>
              </w:rPr>
              <w:t xml:space="preserve">&lt; 5 seconds</w:t>
            </w:r>
          </w:p>
        </w:tc>
        <w:tc>
          <w:tcPr>
            <w:tcW w:type="dxa" w:w="3360"/>
            <w:tcMar>
              <w:top w:type="dxa" w:w="80"/>
              <w:left w:type="dxa" w:w="120"/>
              <w:bottom w:type="dxa" w:w="80"/>
              <w:right w:type="dxa" w:w="120"/>
            </w:tcMar>
          </w:tcPr>
          <w:p>
            <w:r>
              <w:rPr>
                <w:color w:val="6B7280"/>
                <w:sz w:val="20"/>
                <w:szCs w:val="20"/>
              </w:rPr>
              <w:t xml:space="preserve">Fonnte integration triggered synchronously on queue creation</w:t>
            </w:r>
          </w:p>
        </w:tc>
      </w:tr>
      <w:tr>
        <w:tc>
          <w:tcPr>
            <w:tcW w:type="dxa" w:w="4000"/>
            <w:tcMar>
              <w:top w:type="dxa" w:w="80"/>
              <w:left w:type="dxa" w:w="120"/>
              <w:bottom w:type="dxa" w:w="80"/>
              <w:right w:type="dxa" w:w="120"/>
            </w:tcMar>
          </w:tcPr>
          <w:p>
            <w:r>
              <w:rPr>
                <w:color w:val="374151"/>
                <w:sz w:val="20"/>
                <w:szCs w:val="20"/>
              </w:rPr>
              <w:t xml:space="preserve">Returning patient form pre-fill accuracy</w:t>
            </w:r>
          </w:p>
        </w:tc>
        <w:tc>
          <w:tcPr>
            <w:tcW w:type="dxa" w:w="2000"/>
            <w:shd w:fill="F0FDFA" w:val="clear"/>
            <w:tcMar>
              <w:top w:type="dxa" w:w="80"/>
              <w:left w:type="dxa" w:w="120"/>
              <w:bottom w:type="dxa" w:w="80"/>
              <w:right w:type="dxa" w:w="120"/>
            </w:tcMar>
          </w:tcPr>
          <w:p>
            <w:r>
              <w:rPr>
                <w:b/>
                <w:bCs/>
                <w:color w:val="134E4A"/>
                <w:sz w:val="20"/>
                <w:szCs w:val="20"/>
              </w:rPr>
              <w:t xml:space="preserve">&gt; 80% fields</w:t>
            </w:r>
          </w:p>
        </w:tc>
        <w:tc>
          <w:tcPr>
            <w:tcW w:type="dxa" w:w="3360"/>
            <w:tcMar>
              <w:top w:type="dxa" w:w="80"/>
              <w:left w:type="dxa" w:w="120"/>
              <w:bottom w:type="dxa" w:w="80"/>
              <w:right w:type="dxa" w:w="120"/>
            </w:tcMar>
          </w:tcPr>
          <w:p>
            <w:r>
              <w:rPr>
                <w:color w:val="6B7280"/>
                <w:sz w:val="20"/>
                <w:szCs w:val="20"/>
              </w:rPr>
              <w:t xml:space="preserve">NIK-based lookup + AI pre-fill on confirmed match</w:t>
            </w:r>
          </w:p>
        </w:tc>
      </w:tr>
    </w:tbl>
    <w:p>
      <w:r>
        <w:br w:type="page"/>
      </w:r>
    </w:p>
    <w:p>
      <w:pPr>
        <w:pStyle w:val="Heading1"/>
        <w:pBdr>
          <w:bottom w:val="single" w:color="0D9488" w:sz="4"/>
        </w:pBdr>
        <w:spacing w:after="160" w:before="480"/>
      </w:pPr>
      <w:r>
        <w:t xml:space="preserve">7. Feature Prioritization — Phased Delivery Map</w:t>
      </w:r>
    </w:p>
    <w:p>
      <w:pPr>
        <w:spacing w:after="120"/>
      </w:pPr>
      <w:r>
        <w:rPr>
          <w:color w:val="374151"/>
          <w:sz w:val="22"/>
          <w:szCs w:val="22"/>
        </w:rPr>
        <w:t xml:space="preserve">Features are organized into four delivery phases. Each phase has a clear rationale for what is included and why. This reflects iterative thinking, not scope inflation.</w:t>
      </w:r>
    </w:p>
    <w:p>
      <w:pPr>
        <w:spacing w:after="80"/>
      </w:pPr>
    </w:p>
    <w:p>
      <w:pPr>
        <w:pStyle w:val="Heading2"/>
        <w:spacing w:after="120" w:before="360"/>
      </w:pPr>
      <w:r>
        <w:t xml:space="preserve">Phase 0 — MVP (Core Operations, Must Work Day 1)</w:t>
      </w:r>
    </w:p>
    <w:p>
      <w:pPr>
        <w:spacing w:after="120"/>
      </w:pPr>
      <w:r>
        <w:rPr>
          <w:color w:val="374151"/>
          <w:sz w:val="22"/>
          <w:szCs w:val="22"/>
        </w:rPr>
        <w:t xml:space="preserve">A clinic cannot function without these. If any of these fail, the system has zero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160"/>
              <w:bottom w:type="dxa" w:w="120"/>
              <w:right w:type="dxa" w:w="160"/>
            </w:tcMar>
          </w:tcPr>
          <w:p>
            <w:pPr>
              <w:spacing w:after="120"/>
            </w:pPr>
            <w:r>
              <w:rPr>
                <w:i/>
                <w:iCs/>
                <w:color w:val="374151"/>
                <w:sz w:val="20"/>
                <w:szCs w:val="20"/>
              </w:rPr>
              <w:t xml:space="preserve">Rationale: These are the minimum viable subset for a klinik to replace pen-and-paper operations with Klinikku. No notification, no mobile app, no AI — just the core clinical and billing workflow.</w:t>
            </w:r>
          </w:p>
          <w:p>
            <w:r>
              <w:rPr>
                <w:color w:val="374151"/>
                <w:sz w:val="20"/>
                <w:szCs w:val="20"/>
              </w:rPr>
              <w:t xml:space="preserve">✅  Patient registration (guest + walk-in + returning by NIK)</w:t>
            </w:r>
          </w:p>
          <w:p>
            <w:r>
              <w:rPr>
                <w:color w:val="374151"/>
                <w:sz w:val="20"/>
                <w:szCs w:val="20"/>
              </w:rPr>
              <w:t xml:space="preserve">✅  Basic queue management (assign, call, complete)</w:t>
            </w:r>
          </w:p>
          <w:p>
            <w:r>
              <w:rPr>
                <w:color w:val="374151"/>
                <w:sz w:val="20"/>
                <w:szCs w:val="20"/>
              </w:rPr>
              <w:t xml:space="preserve">✅  RME basic (SOAP + ICD-10 diagnosis + e-prescribing)</w:t>
            </w:r>
          </w:p>
          <w:p>
            <w:r>
              <w:rPr>
                <w:color w:val="374151"/>
                <w:sz w:val="20"/>
                <w:szCs w:val="20"/>
              </w:rPr>
              <w:t xml:space="preserve">✅  Basic billing + PDF kwitansi generation</w:t>
            </w:r>
          </w:p>
          <w:p>
            <w:r>
              <w:rPr>
                <w:color w:val="374151"/>
                <w:sz w:val="20"/>
                <w:szCs w:val="20"/>
              </w:rPr>
              <w:t xml:space="preserve">✅  Basic drug stock management</w:t>
            </w:r>
          </w:p>
          <w:p>
            <w:r>
              <w:rPr>
                <w:color w:val="374151"/>
                <w:sz w:val="20"/>
                <w:szCs w:val="20"/>
              </w:rPr>
              <w:t xml:space="preserve">✅  Staff login with role-based access</w:t>
            </w:r>
          </w:p>
          <w:p>
            <w:r>
              <w:rPr>
                <w:color w:val="374151"/>
                <w:sz w:val="20"/>
                <w:szCs w:val="20"/>
              </w:rPr>
              <w:t xml:space="preserve">✅  Multi-tenant isolation (clinic_id scoping)</w:t>
            </w:r>
          </w:p>
        </w:tc>
      </w:tr>
    </w:tbl>
    <w:p>
      <w:pPr>
        <w:spacing w:after="80"/>
      </w:pPr>
    </w:p>
    <w:p>
      <w:pPr>
        <w:pStyle w:val="Heading2"/>
        <w:spacing w:after="120" w:before="360"/>
      </w:pPr>
      <w:r>
        <w:t xml:space="preserve">Phase 1 — v1 (Current Scope — Portfolio Target)</w:t>
      </w:r>
    </w:p>
    <w:p>
      <w:pPr>
        <w:spacing w:after="120"/>
      </w:pPr>
      <w:r>
        <w:rPr>
          <w:color w:val="374151"/>
          <w:sz w:val="22"/>
          <w:szCs w:val="22"/>
        </w:rPr>
        <w:t xml:space="preserve">Features that differentiate Klinikku from manual operations and from simpler one-feature alternatives. This is the full portfolio demo scope.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9FAFB" w:val="clear"/>
            <w:tcMar>
              <w:top w:type="dxa" w:w="120"/>
              <w:left w:type="dxa" w:w="160"/>
              <w:bottom w:type="dxa" w:w="120"/>
              <w:right w:type="dxa" w:w="160"/>
            </w:tcMar>
          </w:tcPr>
          <w:p>
            <w:pPr>
              <w:spacing w:after="120"/>
            </w:pPr>
            <w:r>
              <w:rPr>
                <w:i/>
                <w:iCs/>
                <w:color w:val="374151"/>
                <w:sz w:val="20"/>
                <w:szCs w:val="20"/>
              </w:rPr>
              <w:t xml:space="preserve">Rationale: Each feature in Phase 1 solves a specific pain point that makes manual operations actively painful, not just inconvenient. These are the features that justify building a SaaS platform rather than just digitizing an existing process.</w:t>
            </w:r>
          </w:p>
          <w:p>
            <w:r>
              <w:rPr>
                <w:color w:val="374151"/>
                <w:sz w:val="20"/>
                <w:szCs w:val="20"/>
              </w:rPr>
              <w:t xml:space="preserve">✅  WhatsApp notification (Fonnte): queue confirmation, reminder, post-visit, rujukan</w:t>
            </w:r>
          </w:p>
          <w:p>
            <w:r>
              <w:rPr>
                <w:color w:val="374151"/>
                <w:sz w:val="20"/>
                <w:szCs w:val="20"/>
              </w:rPr>
              <w:t xml:space="preserve">✅  Real-time queue updates via WebSocket (Laravel Reverb) &lt; 500ms</w:t>
            </w:r>
          </w:p>
          <w:p>
            <w:r>
              <w:rPr>
                <w:color w:val="374151"/>
                <w:sz w:val="20"/>
                <w:szCs w:val="20"/>
              </w:rPr>
              <w:t xml:space="preserve">✅  Online queue from mobile app (registered patients)</w:t>
            </w:r>
          </w:p>
          <w:p>
            <w:r>
              <w:rPr>
                <w:color w:val="374151"/>
                <w:sz w:val="20"/>
                <w:szCs w:val="20"/>
              </w:rPr>
              <w:t xml:space="preserve">✅  Appointment booking + scheduling</w:t>
            </w:r>
          </w:p>
          <w:p>
            <w:r>
              <w:rPr>
                <w:color w:val="374151"/>
                <w:sz w:val="20"/>
                <w:szCs w:val="20"/>
              </w:rPr>
              <w:t xml:space="preserve">✅  Public queue tracking page: klinikku.app/q/{token} (no login)</w:t>
            </w:r>
          </w:p>
          <w:p>
            <w:r>
              <w:rPr>
                <w:color w:val="374151"/>
                <w:sz w:val="20"/>
                <w:szCs w:val="20"/>
              </w:rPr>
              <w:t xml:space="preserve">✅  Waiting room display screen: klinikku.app/display/{clinic_id}</w:t>
            </w:r>
          </w:p>
          <w:p>
            <w:r>
              <w:rPr>
                <w:color w:val="374151"/>
                <w:sz w:val="20"/>
                <w:szCs w:val="20"/>
              </w:rPr>
              <w:t xml:space="preserve">✅  3-layer RBAC: system permissions + custom role builder + per-user override</w:t>
            </w:r>
          </w:p>
          <w:p>
            <w:r>
              <w:rPr>
                <w:color w:val="374151"/>
                <w:sz w:val="20"/>
                <w:szCs w:val="20"/>
              </w:rPr>
              <w:t xml:space="preserve">✅  Rujukan digital (PDF + kode + QR verifiable, 2026 regulation)</w:t>
            </w:r>
          </w:p>
          <w:p>
            <w:r>
              <w:rPr>
                <w:color w:val="374151"/>
                <w:sz w:val="20"/>
                <w:szCs w:val="20"/>
              </w:rPr>
              <w:t xml:space="preserve">✅  BPJS-ready reporting: PDF + Excel export with ICD-10 coded data</w:t>
            </w:r>
          </w:p>
          <w:p>
            <w:r>
              <w:rPr>
                <w:color w:val="374151"/>
                <w:sz w:val="20"/>
                <w:szCs w:val="20"/>
              </w:rPr>
              <w:t xml:space="preserve">✅  AI admin assistant: reminder draft + form pre-fill + daily report (Gemini Flash)</w:t>
            </w:r>
          </w:p>
          <w:p>
            <w:r>
              <w:rPr>
                <w:color w:val="374151"/>
                <w:sz w:val="20"/>
                <w:szCs w:val="20"/>
              </w:rPr>
              <w:t xml:space="preserve">✅  Patient portable health record: riwayat, alergi, resep aktif, rujukan (cross-clinic via NIK)</w:t>
            </w:r>
          </w:p>
          <w:p>
            <w:r>
              <w:rPr>
                <w:color w:val="374151"/>
                <w:sz w:val="20"/>
                <w:szCs w:val="20"/>
              </w:rPr>
              <w:t xml:space="preserve">✅  Consent management: patient grants/revokes per clinic access to their record</w:t>
            </w:r>
          </w:p>
          <w:p>
            <w:r>
              <w:rPr>
                <w:color w:val="374151"/>
                <w:sz w:val="20"/>
                <w:szCs w:val="20"/>
              </w:rPr>
              <w:t xml:space="preserve">✅  React Native mobile app (Expo SDK 57): staff + patient in one app, role-based</w:t>
            </w:r>
          </w:p>
          <w:p>
            <w:r>
              <w:rPr>
                <w:color w:val="374151"/>
                <w:sz w:val="20"/>
                <w:szCs w:val="20"/>
              </w:rPr>
              <w:t xml:space="preserve">✅  Feature flag system: per clinic type, auto-configured at registration</w:t>
            </w:r>
          </w:p>
          <w:p>
            <w:r>
              <w:rPr>
                <w:color w:val="374151"/>
                <w:sz w:val="20"/>
                <w:szCs w:val="20"/>
              </w:rPr>
              <w:t xml:space="preserve">✅  Lab module basic: order + results workflow</w:t>
            </w:r>
          </w:p>
          <w:p>
            <w:r>
              <w:rPr>
                <w:color w:val="374151"/>
                <w:sz w:val="20"/>
                <w:szCs w:val="20"/>
              </w:rPr>
              <w:t xml:space="preserve">✅  Staff management: profiles, schedules, shifts, attendance</w:t>
            </w:r>
          </w:p>
        </w:tc>
      </w:tr>
    </w:tbl>
    <w:p>
      <w:pPr>
        <w:spacing w:after="80"/>
      </w:pPr>
    </w:p>
    <w:p>
      <w:pPr>
        <w:pStyle w:val="Heading2"/>
        <w:spacing w:after="120" w:before="360"/>
      </w:pPr>
      <w:r>
        <w:t xml:space="preserve">Phase 2 — v2 (Post-Launch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9FAFB" w:val="clear"/>
            <w:tcMar>
              <w:top w:type="dxa" w:w="120"/>
              <w:left w:type="dxa" w:w="160"/>
              <w:bottom w:type="dxa" w:w="120"/>
              <w:right w:type="dxa" w:w="160"/>
            </w:tcMar>
          </w:tcPr>
          <w:p>
            <w:pPr>
              <w:spacing w:after="40"/>
            </w:pPr>
            <w:r>
              <w:rPr>
                <w:b/>
                <w:bCs/>
                <w:color w:val="134E4A"/>
                <w:sz w:val="20"/>
                <w:szCs w:val="20"/>
              </w:rPr>
              <w:t xml:space="preserve">❌  Payment Gateway (Midtrans / Xendit)</w:t>
            </w:r>
          </w:p>
          <w:p>
            <w:pPr>
              <w:spacing w:after="40"/>
            </w:pPr>
            <w:r>
              <w:rPr>
                <w:color w:val="374151"/>
                <w:sz w:val="20"/>
                <w:szCs w:val="20"/>
              </w:rPr>
              <w:t xml:space="preserve">Why deferred: Mayoritas klinik pratama Indonesia masih menerima pembayaran tunai dan transfer bank manual. Adding a payment gateway in v1 adds integration complexity, MID registration overhead, and UX friction without a clear early-adopter signal.</w:t>
            </w:r>
          </w:p>
          <w:p>
            <w:pPr>
              <w:spacing w:after="160"/>
            </w:pPr>
            <w:r>
              <w:rPr>
                <w:i/>
                <w:iCs/>
                <w:color w:val="6B7280"/>
                <w:sz w:val="20"/>
                <w:szCs w:val="20"/>
              </w:rPr>
              <w:t xml:space="preserve">Roadmap: v2 — Midtrans as primary, Xendit as secondary. Architecture in v1 is designed to accept gateway integration as an additive layer.</w:t>
            </w:r>
          </w:p>
          <w:p>
            <w:pPr>
              <w:spacing w:after="40"/>
            </w:pPr>
            <w:r>
              <w:rPr>
                <w:b/>
                <w:bCs/>
                <w:color w:val="134E4A"/>
                <w:sz w:val="20"/>
                <w:szCs w:val="20"/>
              </w:rPr>
              <w:t xml:space="preserve">❌  WhatsApp Business API Official (Meta)</w:t>
            </w:r>
          </w:p>
          <w:p>
            <w:pPr>
              <w:spacing w:after="40"/>
            </w:pPr>
            <w:r>
              <w:rPr>
                <w:color w:val="374151"/>
                <w:sz w:val="20"/>
                <w:szCs w:val="20"/>
              </w:rPr>
              <w:t xml:space="preserve">Why deferred: Meta's approval process for WhatsApp Business API requires 2–4 weeks and business verification steps that are not feasible for a portfolio demo environment. Fonnte provides sufficient functionality for demo purposes and early clinic adoption.</w:t>
            </w:r>
          </w:p>
          <w:p>
            <w:pPr>
              <w:spacing w:after="160"/>
            </w:pPr>
            <w:r>
              <w:rPr>
                <w:i/>
                <w:iCs/>
                <w:color w:val="6B7280"/>
                <w:sz w:val="20"/>
                <w:szCs w:val="20"/>
              </w:rPr>
              <w:t xml:space="preserve">Roadmap: v2 — full migration to official WhatsApp Business API. Notification service is abstracted in v1 to make provider swap a config change.</w:t>
            </w:r>
          </w:p>
          <w:p>
            <w:pPr>
              <w:spacing w:after="40"/>
            </w:pPr>
            <w:r>
              <w:rPr>
                <w:b/>
                <w:bCs/>
                <w:color w:val="134E4A"/>
                <w:sz w:val="20"/>
                <w:szCs w:val="20"/>
              </w:rPr>
              <w:t xml:space="preserve">❌  SATUSEHAT Integration</w:t>
            </w:r>
          </w:p>
          <w:p>
            <w:pPr>
              <w:spacing w:after="40"/>
            </w:pPr>
            <w:r>
              <w:rPr>
                <w:color w:val="374151"/>
                <w:sz w:val="20"/>
                <w:szCs w:val="20"/>
              </w:rPr>
              <w:t xml:space="preserve">Why deferred: SATUSEHAT API as of mid-2026 still has frequent breaking changes and no published SLA for third-party integrations. Building against an unstable API in a portfolio project creates maintenance burden without demonstrable stability.</w:t>
            </w:r>
          </w:p>
          <w:p>
            <w:pPr>
              <w:spacing w:after="160"/>
            </w:pPr>
            <w:r>
              <w:rPr>
                <w:i/>
                <w:iCs/>
                <w:color w:val="6B7280"/>
                <w:sz w:val="20"/>
                <w:szCs w:val="20"/>
              </w:rPr>
              <w:t xml:space="preserve">Roadmap: v2 — after API stabilizes and Kemenkes publishes official third-party integration documentation.</w:t>
            </w:r>
          </w:p>
          <w:p>
            <w:pPr>
              <w:spacing w:after="40"/>
            </w:pPr>
            <w:r>
              <w:rPr>
                <w:b/>
                <w:bCs/>
                <w:color w:val="134E4A"/>
                <w:sz w:val="20"/>
                <w:szCs w:val="20"/>
              </w:rPr>
              <w:t xml:space="preserve">❌  Multi-Branch per Clinic</w:t>
            </w:r>
          </w:p>
          <w:p>
            <w:pPr>
              <w:spacing w:after="40"/>
            </w:pPr>
            <w:r>
              <w:rPr>
                <w:color w:val="374151"/>
                <w:sz w:val="20"/>
                <w:szCs w:val="20"/>
              </w:rPr>
              <w:t xml:space="preserve">Why deferred: Target segment for v1 is single-branch klinik pratama. Multi-branch adds significant complexity to tenant isolation, role hierarchy, and financial reporting without benefiting the primary user segment.</w:t>
            </w:r>
          </w:p>
          <w:p>
            <w:pPr>
              <w:spacing w:after="160"/>
            </w:pPr>
            <w:r>
              <w:rPr>
                <w:i/>
                <w:iCs/>
                <w:color w:val="6B7280"/>
                <w:sz w:val="20"/>
                <w:szCs w:val="20"/>
              </w:rPr>
              <w:t xml:space="preserve">Roadmap: v2 — as Klinikku expands upmarket to larger clinic networks.</w:t>
            </w:r>
          </w:p>
          <w:p>
            <w:pPr>
              <w:spacing w:after="40"/>
            </w:pPr>
            <w:r>
              <w:rPr>
                <w:b/>
                <w:bCs/>
                <w:color w:val="134E4A"/>
                <w:sz w:val="20"/>
                <w:szCs w:val="20"/>
              </w:rPr>
              <w:t xml:space="preserve">❌  Firebase Cloud Messaging (FCM) Push Notifications</w:t>
            </w:r>
          </w:p>
          <w:p>
            <w:pPr>
              <w:spacing w:after="40"/>
            </w:pPr>
            <w:r>
              <w:rPr>
                <w:color w:val="374151"/>
                <w:sz w:val="20"/>
                <w:szCs w:val="20"/>
              </w:rPr>
              <w:t xml:space="preserve">Why deferred: Demo uses Expo local notifications, which are sufficient to demonstrate the full push notification UX flow. FCM requires a live app store listing for full production testing, which is out of scope for portfolio demo.</w:t>
            </w:r>
          </w:p>
          <w:p>
            <w:pPr>
              <w:spacing w:after="160"/>
            </w:pPr>
            <w:r>
              <w:rPr>
                <w:i/>
                <w:iCs/>
                <w:color w:val="6B7280"/>
                <w:sz w:val="20"/>
                <w:szCs w:val="20"/>
              </w:rPr>
              <w:t xml:space="preserve">Roadmap: v2 — FCM integration. Architecture in v1 uses notification service abstraction for clean migration. Documented in README: "Demo uses Expo local notifications. Production uses FCM."</w:t>
            </w:r>
          </w:p>
          <w:p>
            <w:pPr>
              <w:spacing w:after="40"/>
            </w:pPr>
            <w:r>
              <w:rPr>
                <w:b/>
                <w:bCs/>
                <w:color w:val="134E4A"/>
                <w:sz w:val="20"/>
                <w:szCs w:val="20"/>
              </w:rPr>
              <w:t xml:space="preserve">❌  Dark Mode</w:t>
            </w:r>
          </w:p>
          <w:p>
            <w:pPr>
              <w:spacing w:after="40"/>
            </w:pPr>
            <w:r>
              <w:rPr>
                <w:color w:val="374151"/>
                <w:sz w:val="20"/>
                <w:szCs w:val="20"/>
              </w:rPr>
              <w:t xml:space="preserve">Why deferred: Clinical staff dashboards are primarily desktop-used in well-lit clinic environments. Dark mode is a UX enhancement, not a workflow requirement, and adds design QA surface area.</w:t>
            </w:r>
          </w:p>
          <w:p>
            <w:pPr>
              <w:spacing w:after="0"/>
            </w:pPr>
            <w:r>
              <w:rPr>
                <w:i/>
                <w:iCs/>
                <w:color w:val="6B7280"/>
                <w:sz w:val="20"/>
                <w:szCs w:val="20"/>
              </w:rPr>
              <w:t xml:space="preserve">Roadmap: v2 — full dark mode via Nuxt UI theming and NativeWind dark: variant.</w:t>
            </w:r>
          </w:p>
        </w:tc>
      </w:tr>
    </w:tbl>
    <w:p>
      <w:pPr>
        <w:spacing w:after="80"/>
      </w:pPr>
    </w:p>
    <w:p>
      <w:pPr>
        <w:pStyle w:val="Heading2"/>
        <w:spacing w:after="120" w:before="360"/>
      </w:pPr>
      <w:r>
        <w:t xml:space="preserve">Phase 3 — v3 (Long-Term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160"/>
              <w:bottom w:type="dxa" w:w="120"/>
              <w:right w:type="dxa" w:w="160"/>
            </w:tcMar>
          </w:tcPr>
          <w:p>
            <w:pPr>
              <w:spacing w:after="40"/>
            </w:pPr>
            <w:r>
              <w:rPr>
                <w:b/>
                <w:bCs/>
                <w:color w:val="134E4A"/>
                <w:sz w:val="20"/>
                <w:szCs w:val="20"/>
              </w:rPr>
              <w:t xml:space="preserve">❌  Puskesmas Support (P-Care BPJS)</w:t>
            </w:r>
          </w:p>
          <w:p>
            <w:pPr>
              <w:spacing w:after="40"/>
            </w:pPr>
            <w:r>
              <w:rPr>
                <w:color w:val="374151"/>
                <w:sz w:val="20"/>
                <w:szCs w:val="20"/>
              </w:rPr>
              <w:t xml:space="preserve">Why deferred: P-Care has its own API ecosystem and reporting requirements distinct from klinik pratama BPJS workflow. Separate product configuration required.</w:t>
            </w:r>
          </w:p>
          <w:p>
            <w:pPr>
              <w:spacing w:after="120"/>
            </w:pPr>
            <w:r>
              <w:rPr>
                <w:i/>
                <w:iCs/>
                <w:color w:val="6B7280"/>
                <w:sz w:val="20"/>
                <w:szCs w:val="20"/>
              </w:rPr>
              <w:t xml:space="preserve">Roadmap: v3 as a fourth clinic type with dedicated P-Care integration module.</w:t>
            </w:r>
          </w:p>
          <w:p>
            <w:pPr>
              <w:spacing w:after="40"/>
            </w:pPr>
            <w:r>
              <w:rPr>
                <w:b/>
                <w:bCs/>
                <w:color w:val="134E4A"/>
                <w:sz w:val="20"/>
                <w:szCs w:val="20"/>
              </w:rPr>
              <w:t xml:space="preserve">❌  Rumah Sakit (Inpatient / IGD)</w:t>
            </w:r>
          </w:p>
          <w:p>
            <w:pPr>
              <w:spacing w:after="40"/>
            </w:pPr>
            <w:r>
              <w:rPr>
                <w:color w:val="374151"/>
                <w:sz w:val="20"/>
                <w:szCs w:val="20"/>
              </w:rPr>
              <w:t xml:space="preserve">Why deferred: Hospital-grade features (rawat inap, bed management, IGD triage, specialist referral routing) require a fundamentally different data model and workflow than outpatient clinic operations.</w:t>
            </w:r>
          </w:p>
          <w:p>
            <w:pPr>
              <w:spacing w:after="0"/>
            </w:pPr>
            <w:r>
              <w:rPr>
                <w:i/>
                <w:iCs/>
                <w:color w:val="6B7280"/>
                <w:sz w:val="20"/>
                <w:szCs w:val="20"/>
              </w:rPr>
              <w:t xml:space="preserve">Roadmap: v3 — after Klinikku Pratama and Utama are stable and have real-world usage data.</w:t>
            </w:r>
          </w:p>
        </w:tc>
      </w:tr>
    </w:tbl>
    <w:p>
      <w:r>
        <w:br w:type="page"/>
      </w:r>
    </w:p>
    <w:p>
      <w:pPr>
        <w:pStyle w:val="Heading1"/>
        <w:pBdr>
          <w:bottom w:val="single" w:color="0D9488" w:sz="4"/>
        </w:pBdr>
        <w:spacing w:after="160" w:before="480"/>
      </w:pPr>
      <w:r>
        <w:t xml:space="preserve">8. Technology Stack</w:t>
      </w:r>
    </w:p>
    <w:p>
      <w:pPr>
        <w:spacing w:after="120"/>
      </w:pPr>
      <w:r>
        <w:rPr>
          <w:color w:val="374151"/>
          <w:sz w:val="22"/>
          <w:szCs w:val="22"/>
        </w:rPr>
        <w:t xml:space="preserve">All versions verified as of August 2026. Stack selections are documented in ADRs (Architecture Decision Records) included in the project repository.</w:t>
      </w:r>
    </w:p>
    <w:p>
      <w:pPr>
        <w:spacing w:after="80"/>
      </w:pPr>
    </w:p>
    <w:p>
      <w:pPr>
        <w:pStyle w:val="Heading2"/>
        <w:spacing w:after="120" w:before="360"/>
      </w:pPr>
      <w:r>
        <w:t xml:space="preserve">8.1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shd w:fill="F9FAFB" w:val="clear"/>
            <w:tcMar>
              <w:top w:type="dxa" w:w="80"/>
              <w:left w:type="dxa" w:w="120"/>
              <w:bottom w:type="dxa" w:w="80"/>
              <w:right w:type="dxa" w:w="120"/>
            </w:tcMar>
          </w:tcPr>
          <w:p>
            <w:r>
              <w:rPr>
                <w:b/>
                <w:bCs/>
                <w:color w:val="134E4A"/>
                <w:sz w:val="20"/>
                <w:szCs w:val="20"/>
              </w:rPr>
              <w:t xml:space="preserve">Runtime</w:t>
            </w:r>
          </w:p>
        </w:tc>
        <w:tc>
          <w:tcPr>
            <w:tcW w:type="dxa" w:w="6480"/>
            <w:tcMar>
              <w:top w:type="dxa" w:w="80"/>
              <w:left w:type="dxa" w:w="120"/>
              <w:bottom w:type="dxa" w:w="80"/>
              <w:right w:type="dxa" w:w="120"/>
            </w:tcMar>
          </w:tcPr>
          <w:p>
            <w:r>
              <w:rPr>
                <w:color w:val="374151"/>
                <w:sz w:val="20"/>
                <w:szCs w:val="20"/>
              </w:rPr>
              <w:t xml:space="preserve">PHP 8.5 + Laravel 13.x</w:t>
            </w:r>
          </w:p>
        </w:tc>
      </w:tr>
      <w:tr>
        <w:tc>
          <w:tcPr>
            <w:tcW w:type="dxa" w:w="2880"/>
            <w:shd w:fill="F9FAFB" w:val="clear"/>
            <w:tcMar>
              <w:top w:type="dxa" w:w="80"/>
              <w:left w:type="dxa" w:w="120"/>
              <w:bottom w:type="dxa" w:w="80"/>
              <w:right w:type="dxa" w:w="120"/>
            </w:tcMar>
          </w:tcPr>
          <w:p>
            <w:r>
              <w:rPr>
                <w:b/>
                <w:bCs/>
                <w:color w:val="134E4A"/>
                <w:sz w:val="20"/>
                <w:szCs w:val="20"/>
              </w:rPr>
              <w:t xml:space="preserve">Auth</w:t>
            </w:r>
          </w:p>
        </w:tc>
        <w:tc>
          <w:tcPr>
            <w:tcW w:type="dxa" w:w="6480"/>
            <w:tcMar>
              <w:top w:type="dxa" w:w="80"/>
              <w:left w:type="dxa" w:w="120"/>
              <w:bottom w:type="dxa" w:w="80"/>
              <w:right w:type="dxa" w:w="120"/>
            </w:tcMar>
          </w:tcPr>
          <w:p>
            <w:r>
              <w:rPr>
                <w:color w:val="374151"/>
                <w:sz w:val="20"/>
                <w:szCs w:val="20"/>
              </w:rPr>
              <w:t xml:space="preserve">Laravel Sanctum 4.x/5.x (cookie for web, token for mobile)</w:t>
            </w:r>
          </w:p>
        </w:tc>
      </w:tr>
      <w:tr>
        <w:tc>
          <w:tcPr>
            <w:tcW w:type="dxa" w:w="2880"/>
            <w:shd w:fill="F9FAFB" w:val="clear"/>
            <w:tcMar>
              <w:top w:type="dxa" w:w="80"/>
              <w:left w:type="dxa" w:w="120"/>
              <w:bottom w:type="dxa" w:w="80"/>
              <w:right w:type="dxa" w:w="120"/>
            </w:tcMar>
          </w:tcPr>
          <w:p>
            <w:r>
              <w:rPr>
                <w:b/>
                <w:bCs/>
                <w:color w:val="134E4A"/>
                <w:sz w:val="20"/>
                <w:szCs w:val="20"/>
              </w:rPr>
              <w:t xml:space="preserve">WebSocket</w:t>
            </w:r>
          </w:p>
        </w:tc>
        <w:tc>
          <w:tcPr>
            <w:tcW w:type="dxa" w:w="6480"/>
            <w:tcMar>
              <w:top w:type="dxa" w:w="80"/>
              <w:left w:type="dxa" w:w="120"/>
              <w:bottom w:type="dxa" w:w="80"/>
              <w:right w:type="dxa" w:w="120"/>
            </w:tcMar>
          </w:tcPr>
          <w:p>
            <w:r>
              <w:rPr>
                <w:color w:val="374151"/>
                <w:sz w:val="20"/>
                <w:szCs w:val="20"/>
              </w:rPr>
              <w:t xml:space="preserve">Laravel Reverb (native, no external Pusher dependency)</w:t>
            </w:r>
          </w:p>
        </w:tc>
      </w:tr>
      <w:tr>
        <w:tc>
          <w:tcPr>
            <w:tcW w:type="dxa" w:w="2880"/>
            <w:shd w:fill="F9FAFB" w:val="clear"/>
            <w:tcMar>
              <w:top w:type="dxa" w:w="80"/>
              <w:left w:type="dxa" w:w="120"/>
              <w:bottom w:type="dxa" w:w="80"/>
              <w:right w:type="dxa" w:w="120"/>
            </w:tcMar>
          </w:tcPr>
          <w:p>
            <w:r>
              <w:rPr>
                <w:b/>
                <w:bCs/>
                <w:color w:val="134E4A"/>
                <w:sz w:val="20"/>
                <w:szCs w:val="20"/>
              </w:rPr>
              <w:t xml:space="preserve">RBAC</w:t>
            </w:r>
          </w:p>
        </w:tc>
        <w:tc>
          <w:tcPr>
            <w:tcW w:type="dxa" w:w="6480"/>
            <w:tcMar>
              <w:top w:type="dxa" w:w="80"/>
              <w:left w:type="dxa" w:w="120"/>
              <w:bottom w:type="dxa" w:w="80"/>
              <w:right w:type="dxa" w:w="120"/>
            </w:tcMar>
          </w:tcPr>
          <w:p>
            <w:r>
              <w:rPr>
                <w:color w:val="374151"/>
                <w:sz w:val="20"/>
                <w:szCs w:val="20"/>
              </w:rPr>
              <w:t xml:space="preserve">spatie/laravel-permission</w:t>
            </w:r>
          </w:p>
        </w:tc>
      </w:tr>
      <w:tr>
        <w:tc>
          <w:tcPr>
            <w:tcW w:type="dxa" w:w="2880"/>
            <w:shd w:fill="F9FAFB" w:val="clear"/>
            <w:tcMar>
              <w:top w:type="dxa" w:w="80"/>
              <w:left w:type="dxa" w:w="120"/>
              <w:bottom w:type="dxa" w:w="80"/>
              <w:right w:type="dxa" w:w="120"/>
            </w:tcMar>
          </w:tcPr>
          <w:p>
            <w:r>
              <w:rPr>
                <w:b/>
                <w:bCs/>
                <w:color w:val="134E4A"/>
                <w:sz w:val="20"/>
                <w:szCs w:val="20"/>
              </w:rPr>
              <w:t xml:space="preserve">Media</w:t>
            </w:r>
          </w:p>
        </w:tc>
        <w:tc>
          <w:tcPr>
            <w:tcW w:type="dxa" w:w="6480"/>
            <w:tcMar>
              <w:top w:type="dxa" w:w="80"/>
              <w:left w:type="dxa" w:w="120"/>
              <w:bottom w:type="dxa" w:w="80"/>
              <w:right w:type="dxa" w:w="120"/>
            </w:tcMar>
          </w:tcPr>
          <w:p>
            <w:r>
              <w:rPr>
                <w:color w:val="374151"/>
                <w:sz w:val="20"/>
                <w:szCs w:val="20"/>
              </w:rPr>
              <w:t xml:space="preserve">spatie/laravel-media-library</w:t>
            </w:r>
          </w:p>
        </w:tc>
      </w:tr>
      <w:tr>
        <w:tc>
          <w:tcPr>
            <w:tcW w:type="dxa" w:w="2880"/>
            <w:shd w:fill="F9FAFB" w:val="clear"/>
            <w:tcMar>
              <w:top w:type="dxa" w:w="80"/>
              <w:left w:type="dxa" w:w="120"/>
              <w:bottom w:type="dxa" w:w="80"/>
              <w:right w:type="dxa" w:w="120"/>
            </w:tcMar>
          </w:tcPr>
          <w:p>
            <w:r>
              <w:rPr>
                <w:b/>
                <w:bCs/>
                <w:color w:val="134E4A"/>
                <w:sz w:val="20"/>
                <w:szCs w:val="20"/>
              </w:rPr>
              <w:t xml:space="preserve">PDF</w:t>
            </w:r>
          </w:p>
        </w:tc>
        <w:tc>
          <w:tcPr>
            <w:tcW w:type="dxa" w:w="6480"/>
            <w:tcMar>
              <w:top w:type="dxa" w:w="80"/>
              <w:left w:type="dxa" w:w="120"/>
              <w:bottom w:type="dxa" w:w="80"/>
              <w:right w:type="dxa" w:w="120"/>
            </w:tcMar>
          </w:tcPr>
          <w:p>
            <w:r>
              <w:rPr>
                <w:color w:val="374151"/>
                <w:sz w:val="20"/>
                <w:szCs w:val="20"/>
              </w:rPr>
              <w:t xml:space="preserve">barryvdh/laravel-dompdf 3.x</w:t>
            </w:r>
          </w:p>
        </w:tc>
      </w:tr>
      <w:tr>
        <w:tc>
          <w:tcPr>
            <w:tcW w:type="dxa" w:w="2880"/>
            <w:shd w:fill="F9FAFB" w:val="clear"/>
            <w:tcMar>
              <w:top w:type="dxa" w:w="80"/>
              <w:left w:type="dxa" w:w="120"/>
              <w:bottom w:type="dxa" w:w="80"/>
              <w:right w:type="dxa" w:w="120"/>
            </w:tcMar>
          </w:tcPr>
          <w:p>
            <w:r>
              <w:rPr>
                <w:b/>
                <w:bCs/>
                <w:color w:val="134E4A"/>
                <w:sz w:val="20"/>
                <w:szCs w:val="20"/>
              </w:rPr>
              <w:t xml:space="preserve">Excel/CSV</w:t>
            </w:r>
          </w:p>
        </w:tc>
        <w:tc>
          <w:tcPr>
            <w:tcW w:type="dxa" w:w="6480"/>
            <w:tcMar>
              <w:top w:type="dxa" w:w="80"/>
              <w:left w:type="dxa" w:w="120"/>
              <w:bottom w:type="dxa" w:w="80"/>
              <w:right w:type="dxa" w:w="120"/>
            </w:tcMar>
          </w:tcPr>
          <w:p>
            <w:r>
              <w:rPr>
                <w:color w:val="374151"/>
                <w:sz w:val="20"/>
                <w:szCs w:val="20"/>
              </w:rPr>
              <w:t xml:space="preserve">maatwebsite/excel</w:t>
            </w:r>
          </w:p>
        </w:tc>
      </w:tr>
      <w:tr>
        <w:tc>
          <w:tcPr>
            <w:tcW w:type="dxa" w:w="2880"/>
            <w:shd w:fill="F9FAFB" w:val="clear"/>
            <w:tcMar>
              <w:top w:type="dxa" w:w="80"/>
              <w:left w:type="dxa" w:w="120"/>
              <w:bottom w:type="dxa" w:w="80"/>
              <w:right w:type="dxa" w:w="120"/>
            </w:tcMar>
          </w:tcPr>
          <w:p>
            <w:r>
              <w:rPr>
                <w:b/>
                <w:bCs/>
                <w:color w:val="134E4A"/>
                <w:sz w:val="20"/>
                <w:szCs w:val="20"/>
              </w:rPr>
              <w:t xml:space="preserve">WA</w:t>
            </w:r>
          </w:p>
        </w:tc>
        <w:tc>
          <w:tcPr>
            <w:tcW w:type="dxa" w:w="6480"/>
            <w:tcMar>
              <w:top w:type="dxa" w:w="80"/>
              <w:left w:type="dxa" w:w="120"/>
              <w:bottom w:type="dxa" w:w="80"/>
              <w:right w:type="dxa" w:w="120"/>
            </w:tcMar>
          </w:tcPr>
          <w:p>
            <w:r>
              <w:rPr>
                <w:color w:val="374151"/>
                <w:sz w:val="20"/>
                <w:szCs w:val="20"/>
              </w:rPr>
              <w:t xml:space="preserve">Fonnte SDK</w:t>
            </w:r>
          </w:p>
        </w:tc>
      </w:tr>
      <w:tr>
        <w:tc>
          <w:tcPr>
            <w:tcW w:type="dxa" w:w="2880"/>
            <w:shd w:fill="F9FAFB" w:val="clear"/>
            <w:tcMar>
              <w:top w:type="dxa" w:w="80"/>
              <w:left w:type="dxa" w:w="120"/>
              <w:bottom w:type="dxa" w:w="80"/>
              <w:right w:type="dxa" w:w="120"/>
            </w:tcMar>
          </w:tcPr>
          <w:p>
            <w:r>
              <w:rPr>
                <w:b/>
                <w:bCs/>
                <w:color w:val="134E4A"/>
                <w:sz w:val="20"/>
                <w:szCs w:val="20"/>
              </w:rPr>
              <w:t xml:space="preserve">AI</w:t>
            </w:r>
          </w:p>
        </w:tc>
        <w:tc>
          <w:tcPr>
            <w:tcW w:type="dxa" w:w="6480"/>
            <w:tcMar>
              <w:top w:type="dxa" w:w="80"/>
              <w:left w:type="dxa" w:w="120"/>
              <w:bottom w:type="dxa" w:w="80"/>
              <w:right w:type="dxa" w:w="120"/>
            </w:tcMar>
          </w:tcPr>
          <w:p>
            <w:r>
              <w:rPr>
                <w:color w:val="374151"/>
                <w:sz w:val="20"/>
                <w:szCs w:val="20"/>
              </w:rPr>
              <w:t xml:space="preserve">Gemini Flash API (google/generative-ai)</w:t>
            </w:r>
          </w:p>
        </w:tc>
      </w:tr>
      <w:tr>
        <w:tc>
          <w:tcPr>
            <w:tcW w:type="dxa" w:w="2880"/>
            <w:shd w:fill="F9FAFB" w:val="clear"/>
            <w:tcMar>
              <w:top w:type="dxa" w:w="80"/>
              <w:left w:type="dxa" w:w="120"/>
              <w:bottom w:type="dxa" w:w="80"/>
              <w:right w:type="dxa" w:w="120"/>
            </w:tcMar>
          </w:tcPr>
          <w:p>
            <w:r>
              <w:rPr>
                <w:b/>
                <w:bCs/>
                <w:color w:val="134E4A"/>
                <w:sz w:val="20"/>
                <w:szCs w:val="20"/>
              </w:rPr>
              <w:t xml:space="preserve">Testing</w:t>
            </w:r>
          </w:p>
        </w:tc>
        <w:tc>
          <w:tcPr>
            <w:tcW w:type="dxa" w:w="6480"/>
            <w:tcMar>
              <w:top w:type="dxa" w:w="80"/>
              <w:left w:type="dxa" w:w="120"/>
              <w:bottom w:type="dxa" w:w="80"/>
              <w:right w:type="dxa" w:w="120"/>
            </w:tcMar>
          </w:tcPr>
          <w:p>
            <w:r>
              <w:rPr>
                <w:color w:val="374151"/>
                <w:sz w:val="20"/>
                <w:szCs w:val="20"/>
              </w:rPr>
              <w:t xml:space="preserve">Pest v5</w:t>
            </w:r>
          </w:p>
        </w:tc>
      </w:tr>
      <w:tr>
        <w:tc>
          <w:tcPr>
            <w:tcW w:type="dxa" w:w="2880"/>
            <w:shd w:fill="F9FAFB" w:val="clear"/>
            <w:tcMar>
              <w:top w:type="dxa" w:w="80"/>
              <w:left w:type="dxa" w:w="120"/>
              <w:bottom w:type="dxa" w:w="80"/>
              <w:right w:type="dxa" w:w="120"/>
            </w:tcMar>
          </w:tcPr>
          <w:p>
            <w:r>
              <w:rPr>
                <w:b/>
                <w:bCs/>
                <w:color w:val="134E4A"/>
                <w:sz w:val="20"/>
                <w:szCs w:val="20"/>
              </w:rPr>
              <w:t xml:space="preserve">Static Analysis</w:t>
            </w:r>
          </w:p>
        </w:tc>
        <w:tc>
          <w:tcPr>
            <w:tcW w:type="dxa" w:w="6480"/>
            <w:tcMar>
              <w:top w:type="dxa" w:w="80"/>
              <w:left w:type="dxa" w:w="120"/>
              <w:bottom w:type="dxa" w:w="80"/>
              <w:right w:type="dxa" w:w="120"/>
            </w:tcMar>
          </w:tcPr>
          <w:p>
            <w:r>
              <w:rPr>
                <w:color w:val="374151"/>
                <w:sz w:val="20"/>
                <w:szCs w:val="20"/>
              </w:rPr>
              <w:t xml:space="preserve">PHPStan level 8</w:t>
            </w:r>
          </w:p>
        </w:tc>
      </w:tr>
      <w:tr>
        <w:tc>
          <w:tcPr>
            <w:tcW w:type="dxa" w:w="2880"/>
            <w:shd w:fill="F9FAFB" w:val="clear"/>
            <w:tcMar>
              <w:top w:type="dxa" w:w="80"/>
              <w:left w:type="dxa" w:w="120"/>
              <w:bottom w:type="dxa" w:w="80"/>
              <w:right w:type="dxa" w:w="120"/>
            </w:tcMar>
          </w:tcPr>
          <w:p>
            <w:r>
              <w:rPr>
                <w:b/>
                <w:bCs/>
                <w:color w:val="134E4A"/>
                <w:sz w:val="20"/>
                <w:szCs w:val="20"/>
              </w:rPr>
              <w:t xml:space="preserve">Code Style</w:t>
            </w:r>
          </w:p>
        </w:tc>
        <w:tc>
          <w:tcPr>
            <w:tcW w:type="dxa" w:w="6480"/>
            <w:tcMar>
              <w:top w:type="dxa" w:w="80"/>
              <w:left w:type="dxa" w:w="120"/>
              <w:bottom w:type="dxa" w:w="80"/>
              <w:right w:type="dxa" w:w="120"/>
            </w:tcMar>
          </w:tcPr>
          <w:p>
            <w:r>
              <w:rPr>
                <w:color w:val="374151"/>
                <w:sz w:val="20"/>
                <w:szCs w:val="20"/>
              </w:rPr>
              <w:t xml:space="preserve">Laravel Pint</w:t>
            </w:r>
          </w:p>
        </w:tc>
      </w:tr>
      <w:tr>
        <w:tc>
          <w:tcPr>
            <w:tcW w:type="dxa" w:w="2880"/>
            <w:shd w:fill="F9FAFB" w:val="clear"/>
            <w:tcMar>
              <w:top w:type="dxa" w:w="80"/>
              <w:left w:type="dxa" w:w="120"/>
              <w:bottom w:type="dxa" w:w="80"/>
              <w:right w:type="dxa" w:w="120"/>
            </w:tcMar>
          </w:tcPr>
          <w:p>
            <w:r>
              <w:rPr>
                <w:b/>
                <w:bCs/>
                <w:color w:val="134E4A"/>
                <w:sz w:val="20"/>
                <w:szCs w:val="20"/>
              </w:rPr>
              <w:t xml:space="preserve">API Docs</w:t>
            </w:r>
          </w:p>
        </w:tc>
        <w:tc>
          <w:tcPr>
            <w:tcW w:type="dxa" w:w="6480"/>
            <w:tcMar>
              <w:top w:type="dxa" w:w="80"/>
              <w:left w:type="dxa" w:w="120"/>
              <w:bottom w:type="dxa" w:w="80"/>
              <w:right w:type="dxa" w:w="120"/>
            </w:tcMar>
          </w:tcPr>
          <w:p>
            <w:r>
              <w:rPr>
                <w:color w:val="374151"/>
                <w:sz w:val="20"/>
                <w:szCs w:val="20"/>
              </w:rPr>
              <w:t xml:space="preserve">Scribe 4.x</w:t>
            </w:r>
          </w:p>
        </w:tc>
      </w:tr>
    </w:tbl>
    <w:p>
      <w:pPr>
        <w:spacing w:after="80"/>
      </w:pPr>
    </w:p>
    <w:p>
      <w:pPr>
        <w:pStyle w:val="Heading2"/>
        <w:spacing w:after="120" w:before="360"/>
      </w:pPr>
      <w:r>
        <w:t xml:space="preserve">8.2 Frontend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shd w:fill="F9FAFB" w:val="clear"/>
            <w:tcMar>
              <w:top w:type="dxa" w:w="80"/>
              <w:left w:type="dxa" w:w="120"/>
              <w:bottom w:type="dxa" w:w="80"/>
              <w:right w:type="dxa" w:w="120"/>
            </w:tcMar>
          </w:tcPr>
          <w:p>
            <w:r>
              <w:rPr>
                <w:b/>
                <w:bCs/>
                <w:color w:val="134E4A"/>
                <w:sz w:val="20"/>
                <w:szCs w:val="20"/>
              </w:rPr>
              <w:t xml:space="preserve">Framework</w:t>
            </w:r>
          </w:p>
        </w:tc>
        <w:tc>
          <w:tcPr>
            <w:tcW w:type="dxa" w:w="6480"/>
            <w:tcMar>
              <w:top w:type="dxa" w:w="80"/>
              <w:left w:type="dxa" w:w="120"/>
              <w:bottom w:type="dxa" w:w="80"/>
              <w:right w:type="dxa" w:w="120"/>
            </w:tcMar>
          </w:tcPr>
          <w:p>
            <w:r>
              <w:rPr>
                <w:color w:val="374151"/>
                <w:sz w:val="20"/>
                <w:szCs w:val="20"/>
              </w:rPr>
              <w:t xml:space="preserve">Nuxt 4.5.1 + Vue 3.5.40</w:t>
            </w:r>
          </w:p>
        </w:tc>
      </w:tr>
      <w:tr>
        <w:tc>
          <w:tcPr>
            <w:tcW w:type="dxa" w:w="2880"/>
            <w:shd w:fill="F9FAFB" w:val="clear"/>
            <w:tcMar>
              <w:top w:type="dxa" w:w="80"/>
              <w:left w:type="dxa" w:w="120"/>
              <w:bottom w:type="dxa" w:w="80"/>
              <w:right w:type="dxa" w:w="120"/>
            </w:tcMar>
          </w:tcPr>
          <w:p>
            <w:r>
              <w:rPr>
                <w:b/>
                <w:bCs/>
                <w:color w:val="134E4A"/>
                <w:sz w:val="20"/>
                <w:szCs w:val="20"/>
              </w:rPr>
              <w:t xml:space="preserve">Language</w:t>
            </w:r>
          </w:p>
        </w:tc>
        <w:tc>
          <w:tcPr>
            <w:tcW w:type="dxa" w:w="6480"/>
            <w:tcMar>
              <w:top w:type="dxa" w:w="80"/>
              <w:left w:type="dxa" w:w="120"/>
              <w:bottom w:type="dxa" w:w="80"/>
              <w:right w:type="dxa" w:w="120"/>
            </w:tcMar>
          </w:tcPr>
          <w:p>
            <w:r>
              <w:rPr>
                <w:color w:val="374151"/>
                <w:sz w:val="20"/>
                <w:szCs w:val="20"/>
              </w:rPr>
              <w:t xml:space="preserve">TypeScript 6.x (strict mode)</w:t>
            </w:r>
          </w:p>
        </w:tc>
      </w:tr>
      <w:tr>
        <w:tc>
          <w:tcPr>
            <w:tcW w:type="dxa" w:w="2880"/>
            <w:shd w:fill="F9FAFB" w:val="clear"/>
            <w:tcMar>
              <w:top w:type="dxa" w:w="80"/>
              <w:left w:type="dxa" w:w="120"/>
              <w:bottom w:type="dxa" w:w="80"/>
              <w:right w:type="dxa" w:w="120"/>
            </w:tcMar>
          </w:tcPr>
          <w:p>
            <w:r>
              <w:rPr>
                <w:b/>
                <w:bCs/>
                <w:color w:val="134E4A"/>
                <w:sz w:val="20"/>
                <w:szCs w:val="20"/>
              </w:rPr>
              <w:t xml:space="preserve">Build</w:t>
            </w:r>
          </w:p>
        </w:tc>
        <w:tc>
          <w:tcPr>
            <w:tcW w:type="dxa" w:w="6480"/>
            <w:tcMar>
              <w:top w:type="dxa" w:w="80"/>
              <w:left w:type="dxa" w:w="120"/>
              <w:bottom w:type="dxa" w:w="80"/>
              <w:right w:type="dxa" w:w="120"/>
            </w:tcMar>
          </w:tcPr>
          <w:p>
            <w:r>
              <w:rPr>
                <w:color w:val="374151"/>
                <w:sz w:val="20"/>
                <w:szCs w:val="20"/>
              </w:rPr>
              <w:t xml:space="preserve">Vite 8</w:t>
            </w:r>
          </w:p>
        </w:tc>
      </w:tr>
      <w:tr>
        <w:tc>
          <w:tcPr>
            <w:tcW w:type="dxa" w:w="2880"/>
            <w:shd w:fill="F9FAFB" w:val="clear"/>
            <w:tcMar>
              <w:top w:type="dxa" w:w="80"/>
              <w:left w:type="dxa" w:w="120"/>
              <w:bottom w:type="dxa" w:w="80"/>
              <w:right w:type="dxa" w:w="120"/>
            </w:tcMar>
          </w:tcPr>
          <w:p>
            <w:r>
              <w:rPr>
                <w:b/>
                <w:bCs/>
                <w:color w:val="134E4A"/>
                <w:sz w:val="20"/>
                <w:szCs w:val="20"/>
              </w:rPr>
              <w:t xml:space="preserve">UI Library</w:t>
            </w:r>
          </w:p>
        </w:tc>
        <w:tc>
          <w:tcPr>
            <w:tcW w:type="dxa" w:w="6480"/>
            <w:tcMar>
              <w:top w:type="dxa" w:w="80"/>
              <w:left w:type="dxa" w:w="120"/>
              <w:bottom w:type="dxa" w:w="80"/>
              <w:right w:type="dxa" w:w="120"/>
            </w:tcMar>
          </w:tcPr>
          <w:p>
            <w:r>
              <w:rPr>
                <w:color w:val="374151"/>
                <w:sz w:val="20"/>
                <w:szCs w:val="20"/>
              </w:rPr>
              <w:t xml:space="preserve">@nuxt/ui + @nuxtjs/tailwindcss</w:t>
            </w:r>
          </w:p>
        </w:tc>
      </w:tr>
      <w:tr>
        <w:tc>
          <w:tcPr>
            <w:tcW w:type="dxa" w:w="2880"/>
            <w:shd w:fill="F9FAFB" w:val="clear"/>
            <w:tcMar>
              <w:top w:type="dxa" w:w="80"/>
              <w:left w:type="dxa" w:w="120"/>
              <w:bottom w:type="dxa" w:w="80"/>
              <w:right w:type="dxa" w:w="120"/>
            </w:tcMar>
          </w:tcPr>
          <w:p>
            <w:r>
              <w:rPr>
                <w:b/>
                <w:bCs/>
                <w:color w:val="134E4A"/>
                <w:sz w:val="20"/>
                <w:szCs w:val="20"/>
              </w:rPr>
              <w:t xml:space="preserve">State</w:t>
            </w:r>
          </w:p>
        </w:tc>
        <w:tc>
          <w:tcPr>
            <w:tcW w:type="dxa" w:w="6480"/>
            <w:tcMar>
              <w:top w:type="dxa" w:w="80"/>
              <w:left w:type="dxa" w:w="120"/>
              <w:bottom w:type="dxa" w:w="80"/>
              <w:right w:type="dxa" w:w="120"/>
            </w:tcMar>
          </w:tcPr>
          <w:p>
            <w:r>
              <w:rPr>
                <w:color w:val="374151"/>
                <w:sz w:val="20"/>
                <w:szCs w:val="20"/>
              </w:rPr>
              <w:t xml:space="preserve">Pinia + @pinia/nuxt</w:t>
            </w:r>
          </w:p>
        </w:tc>
      </w:tr>
      <w:tr>
        <w:tc>
          <w:tcPr>
            <w:tcW w:type="dxa" w:w="2880"/>
            <w:shd w:fill="F9FAFB" w:val="clear"/>
            <w:tcMar>
              <w:top w:type="dxa" w:w="80"/>
              <w:left w:type="dxa" w:w="120"/>
              <w:bottom w:type="dxa" w:w="80"/>
              <w:right w:type="dxa" w:w="120"/>
            </w:tcMar>
          </w:tcPr>
          <w:p>
            <w:r>
              <w:rPr>
                <w:b/>
                <w:bCs/>
                <w:color w:val="134E4A"/>
                <w:sz w:val="20"/>
                <w:szCs w:val="20"/>
              </w:rPr>
              <w:t xml:space="preserve">Forms</w:t>
            </w:r>
          </w:p>
        </w:tc>
        <w:tc>
          <w:tcPr>
            <w:tcW w:type="dxa" w:w="6480"/>
            <w:tcMar>
              <w:top w:type="dxa" w:w="80"/>
              <w:left w:type="dxa" w:w="120"/>
              <w:bottom w:type="dxa" w:w="80"/>
              <w:right w:type="dxa" w:w="120"/>
            </w:tcMar>
          </w:tcPr>
          <w:p>
            <w:r>
              <w:rPr>
                <w:color w:val="374151"/>
                <w:sz w:val="20"/>
                <w:szCs w:val="20"/>
              </w:rPr>
              <w:t xml:space="preserve">vee-validate + @vee-validate/zod + zod</w:t>
            </w:r>
          </w:p>
        </w:tc>
      </w:tr>
      <w:tr>
        <w:tc>
          <w:tcPr>
            <w:tcW w:type="dxa" w:w="2880"/>
            <w:shd w:fill="F9FAFB" w:val="clear"/>
            <w:tcMar>
              <w:top w:type="dxa" w:w="80"/>
              <w:left w:type="dxa" w:w="120"/>
              <w:bottom w:type="dxa" w:w="80"/>
              <w:right w:type="dxa" w:w="120"/>
            </w:tcMar>
          </w:tcPr>
          <w:p>
            <w:r>
              <w:rPr>
                <w:b/>
                <w:bCs/>
                <w:color w:val="134E4A"/>
                <w:sz w:val="20"/>
                <w:szCs w:val="20"/>
              </w:rPr>
              <w:t xml:space="preserve">Charts</w:t>
            </w:r>
          </w:p>
        </w:tc>
        <w:tc>
          <w:tcPr>
            <w:tcW w:type="dxa" w:w="6480"/>
            <w:tcMar>
              <w:top w:type="dxa" w:w="80"/>
              <w:left w:type="dxa" w:w="120"/>
              <w:bottom w:type="dxa" w:w="80"/>
              <w:right w:type="dxa" w:w="120"/>
            </w:tcMar>
          </w:tcPr>
          <w:p>
            <w:r>
              <w:rPr>
                <w:color w:val="374151"/>
                <w:sz w:val="20"/>
                <w:szCs w:val="20"/>
              </w:rPr>
              <w:t xml:space="preserve">vue-chartjs</w:t>
            </w:r>
          </w:p>
        </w:tc>
      </w:tr>
      <w:tr>
        <w:tc>
          <w:tcPr>
            <w:tcW w:type="dxa" w:w="2880"/>
            <w:shd w:fill="F9FAFB" w:val="clear"/>
            <w:tcMar>
              <w:top w:type="dxa" w:w="80"/>
              <w:left w:type="dxa" w:w="120"/>
              <w:bottom w:type="dxa" w:w="80"/>
              <w:right w:type="dxa" w:w="120"/>
            </w:tcMar>
          </w:tcPr>
          <w:p>
            <w:r>
              <w:rPr>
                <w:b/>
                <w:bCs/>
                <w:color w:val="134E4A"/>
                <w:sz w:val="20"/>
                <w:szCs w:val="20"/>
              </w:rPr>
              <w:t xml:space="preserve">Utilities</w:t>
            </w:r>
          </w:p>
        </w:tc>
        <w:tc>
          <w:tcPr>
            <w:tcW w:type="dxa" w:w="6480"/>
            <w:tcMar>
              <w:top w:type="dxa" w:w="80"/>
              <w:left w:type="dxa" w:w="120"/>
              <w:bottom w:type="dxa" w:w="80"/>
              <w:right w:type="dxa" w:w="120"/>
            </w:tcMar>
          </w:tcPr>
          <w:p>
            <w:r>
              <w:rPr>
                <w:color w:val="374151"/>
                <w:sz w:val="20"/>
                <w:szCs w:val="20"/>
              </w:rPr>
              <w:t xml:space="preserve">@vueuse/core + @vueuse/nuxt + dayjs</w:t>
            </w:r>
          </w:p>
        </w:tc>
      </w:tr>
      <w:tr>
        <w:tc>
          <w:tcPr>
            <w:tcW w:type="dxa" w:w="2880"/>
            <w:shd w:fill="F9FAFB" w:val="clear"/>
            <w:tcMar>
              <w:top w:type="dxa" w:w="80"/>
              <w:left w:type="dxa" w:w="120"/>
              <w:bottom w:type="dxa" w:w="80"/>
              <w:right w:type="dxa" w:w="120"/>
            </w:tcMar>
          </w:tcPr>
          <w:p>
            <w:r>
              <w:rPr>
                <w:b/>
                <w:bCs/>
                <w:color w:val="134E4A"/>
                <w:sz w:val="20"/>
                <w:szCs w:val="20"/>
              </w:rPr>
              <w:t xml:space="preserve">WebSocket</w:t>
            </w:r>
          </w:p>
        </w:tc>
        <w:tc>
          <w:tcPr>
            <w:tcW w:type="dxa" w:w="6480"/>
            <w:tcMar>
              <w:top w:type="dxa" w:w="80"/>
              <w:left w:type="dxa" w:w="120"/>
              <w:bottom w:type="dxa" w:w="80"/>
              <w:right w:type="dxa" w:w="120"/>
            </w:tcMar>
          </w:tcPr>
          <w:p>
            <w:r>
              <w:rPr>
                <w:color w:val="374151"/>
                <w:sz w:val="20"/>
                <w:szCs w:val="20"/>
              </w:rPr>
              <w:t xml:space="preserve">laravel-echo + pusher-js</w:t>
            </w:r>
          </w:p>
        </w:tc>
      </w:tr>
      <w:tr>
        <w:tc>
          <w:tcPr>
            <w:tcW w:type="dxa" w:w="2880"/>
            <w:shd w:fill="F9FAFB" w:val="clear"/>
            <w:tcMar>
              <w:top w:type="dxa" w:w="80"/>
              <w:left w:type="dxa" w:w="120"/>
              <w:bottom w:type="dxa" w:w="80"/>
              <w:right w:type="dxa" w:w="120"/>
            </w:tcMar>
          </w:tcPr>
          <w:p>
            <w:r>
              <w:rPr>
                <w:b/>
                <w:bCs/>
                <w:color w:val="134E4A"/>
                <w:sz w:val="20"/>
                <w:szCs w:val="20"/>
              </w:rPr>
              <w:t xml:space="preserve">HTTP</w:t>
            </w:r>
          </w:p>
        </w:tc>
        <w:tc>
          <w:tcPr>
            <w:tcW w:type="dxa" w:w="6480"/>
            <w:tcMar>
              <w:top w:type="dxa" w:w="80"/>
              <w:left w:type="dxa" w:w="120"/>
              <w:bottom w:type="dxa" w:w="80"/>
              <w:right w:type="dxa" w:w="120"/>
            </w:tcMar>
          </w:tcPr>
          <w:p>
            <w:r>
              <w:rPr>
                <w:color w:val="374151"/>
                <w:sz w:val="20"/>
                <w:szCs w:val="20"/>
              </w:rPr>
              <w:t xml:space="preserve">ofetch</w:t>
            </w:r>
          </w:p>
        </w:tc>
      </w:tr>
    </w:tbl>
    <w:p>
      <w:pPr>
        <w:spacing w:after="80"/>
      </w:pPr>
    </w:p>
    <w:p>
      <w:pPr>
        <w:pStyle w:val="Heading2"/>
        <w:spacing w:after="120" w:before="360"/>
      </w:pPr>
      <w:r>
        <w:t xml:space="preserve">8.3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shd w:fill="F9FAFB" w:val="clear"/>
            <w:tcMar>
              <w:top w:type="dxa" w:w="80"/>
              <w:left w:type="dxa" w:w="120"/>
              <w:bottom w:type="dxa" w:w="80"/>
              <w:right w:type="dxa" w:w="120"/>
            </w:tcMar>
          </w:tcPr>
          <w:p>
            <w:r>
              <w:rPr>
                <w:b/>
                <w:bCs/>
                <w:color w:val="134E4A"/>
                <w:sz w:val="20"/>
                <w:szCs w:val="20"/>
              </w:rPr>
              <w:t xml:space="preserve">Framework</w:t>
            </w:r>
          </w:p>
        </w:tc>
        <w:tc>
          <w:tcPr>
            <w:tcW w:type="dxa" w:w="6480"/>
            <w:tcMar>
              <w:top w:type="dxa" w:w="80"/>
              <w:left w:type="dxa" w:w="120"/>
              <w:bottom w:type="dxa" w:w="80"/>
              <w:right w:type="dxa" w:w="120"/>
            </w:tcMar>
          </w:tcPr>
          <w:p>
            <w:r>
              <w:rPr>
                <w:color w:val="374151"/>
                <w:sz w:val="20"/>
                <w:szCs w:val="20"/>
              </w:rPr>
              <w:t xml:space="preserve">Expo SDK 57 + React Native 0.86 + React 19.2</w:t>
            </w:r>
          </w:p>
        </w:tc>
      </w:tr>
      <w:tr>
        <w:tc>
          <w:tcPr>
            <w:tcW w:type="dxa" w:w="2880"/>
            <w:shd w:fill="F9FAFB" w:val="clear"/>
            <w:tcMar>
              <w:top w:type="dxa" w:w="80"/>
              <w:left w:type="dxa" w:w="120"/>
              <w:bottom w:type="dxa" w:w="80"/>
              <w:right w:type="dxa" w:w="120"/>
            </w:tcMar>
          </w:tcPr>
          <w:p>
            <w:r>
              <w:rPr>
                <w:b/>
                <w:bCs/>
                <w:color w:val="134E4A"/>
                <w:sz w:val="20"/>
                <w:szCs w:val="20"/>
              </w:rPr>
              <w:t xml:space="preserve">Language</w:t>
            </w:r>
          </w:p>
        </w:tc>
        <w:tc>
          <w:tcPr>
            <w:tcW w:type="dxa" w:w="6480"/>
            <w:tcMar>
              <w:top w:type="dxa" w:w="80"/>
              <w:left w:type="dxa" w:w="120"/>
              <w:bottom w:type="dxa" w:w="80"/>
              <w:right w:type="dxa" w:w="120"/>
            </w:tcMar>
          </w:tcPr>
          <w:p>
            <w:r>
              <w:rPr>
                <w:color w:val="374151"/>
                <w:sz w:val="20"/>
                <w:szCs w:val="20"/>
              </w:rPr>
              <w:t xml:space="preserve">TypeScript 5.x (strict mode)</w:t>
            </w:r>
          </w:p>
        </w:tc>
      </w:tr>
      <w:tr>
        <w:tc>
          <w:tcPr>
            <w:tcW w:type="dxa" w:w="2880"/>
            <w:shd w:fill="F9FAFB" w:val="clear"/>
            <w:tcMar>
              <w:top w:type="dxa" w:w="80"/>
              <w:left w:type="dxa" w:w="120"/>
              <w:bottom w:type="dxa" w:w="80"/>
              <w:right w:type="dxa" w:w="120"/>
            </w:tcMar>
          </w:tcPr>
          <w:p>
            <w:r>
              <w:rPr>
                <w:b/>
                <w:bCs/>
                <w:color w:val="134E4A"/>
                <w:sz w:val="20"/>
                <w:szCs w:val="20"/>
              </w:rPr>
              <w:t xml:space="preserve">Navigation</w:t>
            </w:r>
          </w:p>
        </w:tc>
        <w:tc>
          <w:tcPr>
            <w:tcW w:type="dxa" w:w="6480"/>
            <w:tcMar>
              <w:top w:type="dxa" w:w="80"/>
              <w:left w:type="dxa" w:w="120"/>
              <w:bottom w:type="dxa" w:w="80"/>
              <w:right w:type="dxa" w:w="120"/>
            </w:tcMar>
          </w:tcPr>
          <w:p>
            <w:r>
              <w:rPr>
                <w:color w:val="374151"/>
                <w:sz w:val="20"/>
                <w:szCs w:val="20"/>
              </w:rPr>
              <w:t xml:space="preserve">Expo Router (file-based, SDK 57) — no @react-navigation direct imports</w:t>
            </w:r>
          </w:p>
        </w:tc>
      </w:tr>
      <w:tr>
        <w:tc>
          <w:tcPr>
            <w:tcW w:type="dxa" w:w="2880"/>
            <w:shd w:fill="F9FAFB" w:val="clear"/>
            <w:tcMar>
              <w:top w:type="dxa" w:w="80"/>
              <w:left w:type="dxa" w:w="120"/>
              <w:bottom w:type="dxa" w:w="80"/>
              <w:right w:type="dxa" w:w="120"/>
            </w:tcMar>
          </w:tcPr>
          <w:p>
            <w:r>
              <w:rPr>
                <w:b/>
                <w:bCs/>
                <w:color w:val="134E4A"/>
                <w:sz w:val="20"/>
                <w:szCs w:val="20"/>
              </w:rPr>
              <w:t xml:space="preserve">Styling</w:t>
            </w:r>
          </w:p>
        </w:tc>
        <w:tc>
          <w:tcPr>
            <w:tcW w:type="dxa" w:w="6480"/>
            <w:tcMar>
              <w:top w:type="dxa" w:w="80"/>
              <w:left w:type="dxa" w:w="120"/>
              <w:bottom w:type="dxa" w:w="80"/>
              <w:right w:type="dxa" w:w="120"/>
            </w:tcMar>
          </w:tcPr>
          <w:p>
            <w:r>
              <w:rPr>
                <w:color w:val="374151"/>
                <w:sz w:val="20"/>
                <w:szCs w:val="20"/>
              </w:rPr>
              <w:t xml:space="preserve">NativeWind v4 stable (Tailwind v3)</w:t>
            </w:r>
          </w:p>
        </w:tc>
      </w:tr>
      <w:tr>
        <w:tc>
          <w:tcPr>
            <w:tcW w:type="dxa" w:w="2880"/>
            <w:shd w:fill="F9FAFB" w:val="clear"/>
            <w:tcMar>
              <w:top w:type="dxa" w:w="80"/>
              <w:left w:type="dxa" w:w="120"/>
              <w:bottom w:type="dxa" w:w="80"/>
              <w:right w:type="dxa" w:w="120"/>
            </w:tcMar>
          </w:tcPr>
          <w:p>
            <w:r>
              <w:rPr>
                <w:b/>
                <w:bCs/>
                <w:color w:val="134E4A"/>
                <w:sz w:val="20"/>
                <w:szCs w:val="20"/>
              </w:rPr>
              <w:t xml:space="preserve">Animations</w:t>
            </w:r>
          </w:p>
        </w:tc>
        <w:tc>
          <w:tcPr>
            <w:tcW w:type="dxa" w:w="6480"/>
            <w:tcMar>
              <w:top w:type="dxa" w:w="80"/>
              <w:left w:type="dxa" w:w="120"/>
              <w:bottom w:type="dxa" w:w="80"/>
              <w:right w:type="dxa" w:w="120"/>
            </w:tcMar>
          </w:tcPr>
          <w:p>
            <w:r>
              <w:rPr>
                <w:color w:val="374151"/>
                <w:sz w:val="20"/>
                <w:szCs w:val="20"/>
              </w:rPr>
              <w:t xml:space="preserve">React Native Reanimated 4.3.x</w:t>
            </w:r>
          </w:p>
        </w:tc>
      </w:tr>
      <w:tr>
        <w:tc>
          <w:tcPr>
            <w:tcW w:type="dxa" w:w="2880"/>
            <w:shd w:fill="F9FAFB" w:val="clear"/>
            <w:tcMar>
              <w:top w:type="dxa" w:w="80"/>
              <w:left w:type="dxa" w:w="120"/>
              <w:bottom w:type="dxa" w:w="80"/>
              <w:right w:type="dxa" w:w="120"/>
            </w:tcMar>
          </w:tcPr>
          <w:p>
            <w:r>
              <w:rPr>
                <w:b/>
                <w:bCs/>
                <w:color w:val="134E4A"/>
                <w:sz w:val="20"/>
                <w:szCs w:val="20"/>
              </w:rPr>
              <w:t xml:space="preserve">Gestures</w:t>
            </w:r>
          </w:p>
        </w:tc>
        <w:tc>
          <w:tcPr>
            <w:tcW w:type="dxa" w:w="6480"/>
            <w:tcMar>
              <w:top w:type="dxa" w:w="80"/>
              <w:left w:type="dxa" w:w="120"/>
              <w:bottom w:type="dxa" w:w="80"/>
              <w:right w:type="dxa" w:w="120"/>
            </w:tcMar>
          </w:tcPr>
          <w:p>
            <w:r>
              <w:rPr>
                <w:color w:val="374151"/>
                <w:sz w:val="20"/>
                <w:szCs w:val="20"/>
              </w:rPr>
              <w:t xml:space="preserve">React Native Gesture Handler 2.31.x</w:t>
            </w:r>
          </w:p>
        </w:tc>
      </w:tr>
      <w:tr>
        <w:tc>
          <w:tcPr>
            <w:tcW w:type="dxa" w:w="2880"/>
            <w:shd w:fill="F9FAFB" w:val="clear"/>
            <w:tcMar>
              <w:top w:type="dxa" w:w="80"/>
              <w:left w:type="dxa" w:w="120"/>
              <w:bottom w:type="dxa" w:w="80"/>
              <w:right w:type="dxa" w:w="120"/>
            </w:tcMar>
          </w:tcPr>
          <w:p>
            <w:r>
              <w:rPr>
                <w:b/>
                <w:bCs/>
                <w:color w:val="134E4A"/>
                <w:sz w:val="20"/>
                <w:szCs w:val="20"/>
              </w:rPr>
              <w:t xml:space="preserve">State</w:t>
            </w:r>
          </w:p>
        </w:tc>
        <w:tc>
          <w:tcPr>
            <w:tcW w:type="dxa" w:w="6480"/>
            <w:tcMar>
              <w:top w:type="dxa" w:w="80"/>
              <w:left w:type="dxa" w:w="120"/>
              <w:bottom w:type="dxa" w:w="80"/>
              <w:right w:type="dxa" w:w="120"/>
            </w:tcMar>
          </w:tcPr>
          <w:p>
            <w:r>
              <w:rPr>
                <w:color w:val="374151"/>
                <w:sz w:val="20"/>
                <w:szCs w:val="20"/>
              </w:rPr>
              <w:t xml:space="preserve">Zustand 5.x</w:t>
            </w:r>
          </w:p>
        </w:tc>
      </w:tr>
      <w:tr>
        <w:tc>
          <w:tcPr>
            <w:tcW w:type="dxa" w:w="2880"/>
            <w:shd w:fill="F9FAFB" w:val="clear"/>
            <w:tcMar>
              <w:top w:type="dxa" w:w="80"/>
              <w:left w:type="dxa" w:w="120"/>
              <w:bottom w:type="dxa" w:w="80"/>
              <w:right w:type="dxa" w:w="120"/>
            </w:tcMar>
          </w:tcPr>
          <w:p>
            <w:r>
              <w:rPr>
                <w:b/>
                <w:bCs/>
                <w:color w:val="134E4A"/>
                <w:sz w:val="20"/>
                <w:szCs w:val="20"/>
              </w:rPr>
              <w:t xml:space="preserve">Secure Storage</w:t>
            </w:r>
          </w:p>
        </w:tc>
        <w:tc>
          <w:tcPr>
            <w:tcW w:type="dxa" w:w="6480"/>
            <w:tcMar>
              <w:top w:type="dxa" w:w="80"/>
              <w:left w:type="dxa" w:w="120"/>
              <w:bottom w:type="dxa" w:w="80"/>
              <w:right w:type="dxa" w:w="120"/>
            </w:tcMar>
          </w:tcPr>
          <w:p>
            <w:r>
              <w:rPr>
                <w:color w:val="374151"/>
                <w:sz w:val="20"/>
                <w:szCs w:val="20"/>
              </w:rPr>
              <w:t xml:space="preserve">Expo SecureStore</w:t>
            </w:r>
          </w:p>
        </w:tc>
      </w:tr>
      <w:tr>
        <w:tc>
          <w:tcPr>
            <w:tcW w:type="dxa" w:w="2880"/>
            <w:shd w:fill="F9FAFB" w:val="clear"/>
            <w:tcMar>
              <w:top w:type="dxa" w:w="80"/>
              <w:left w:type="dxa" w:w="120"/>
              <w:bottom w:type="dxa" w:w="80"/>
              <w:right w:type="dxa" w:w="120"/>
            </w:tcMar>
          </w:tcPr>
          <w:p>
            <w:r>
              <w:rPr>
                <w:b/>
                <w:bCs/>
                <w:color w:val="134E4A"/>
                <w:sz w:val="20"/>
                <w:szCs w:val="20"/>
              </w:rPr>
              <w:t xml:space="preserve">Notifications</w:t>
            </w:r>
          </w:p>
        </w:tc>
        <w:tc>
          <w:tcPr>
            <w:tcW w:type="dxa" w:w="6480"/>
            <w:tcMar>
              <w:top w:type="dxa" w:w="80"/>
              <w:left w:type="dxa" w:w="120"/>
              <w:bottom w:type="dxa" w:w="80"/>
              <w:right w:type="dxa" w:w="120"/>
            </w:tcMar>
          </w:tcPr>
          <w:p>
            <w:r>
              <w:rPr>
                <w:color w:val="374151"/>
                <w:sz w:val="20"/>
                <w:szCs w:val="20"/>
              </w:rPr>
              <w:t xml:space="preserve">Expo Notifications (local demo, FCM-ready)</w:t>
            </w:r>
          </w:p>
        </w:tc>
      </w:tr>
      <w:tr>
        <w:tc>
          <w:tcPr>
            <w:tcW w:type="dxa" w:w="2880"/>
            <w:shd w:fill="F9FAFB" w:val="clear"/>
            <w:tcMar>
              <w:top w:type="dxa" w:w="80"/>
              <w:left w:type="dxa" w:w="120"/>
              <w:bottom w:type="dxa" w:w="80"/>
              <w:right w:type="dxa" w:w="120"/>
            </w:tcMar>
          </w:tcPr>
          <w:p>
            <w:r>
              <w:rPr>
                <w:b/>
                <w:bCs/>
                <w:color w:val="134E4A"/>
                <w:sz w:val="20"/>
                <w:szCs w:val="20"/>
              </w:rPr>
              <w:t xml:space="preserve">HTTP</w:t>
            </w:r>
          </w:p>
        </w:tc>
        <w:tc>
          <w:tcPr>
            <w:tcW w:type="dxa" w:w="6480"/>
            <w:tcMar>
              <w:top w:type="dxa" w:w="80"/>
              <w:left w:type="dxa" w:w="120"/>
              <w:bottom w:type="dxa" w:w="80"/>
              <w:right w:type="dxa" w:w="120"/>
            </w:tcMar>
          </w:tcPr>
          <w:p>
            <w:r>
              <w:rPr>
                <w:color w:val="374151"/>
                <w:sz w:val="20"/>
                <w:szCs w:val="20"/>
              </w:rPr>
              <w:t xml:space="preserve">Axios</w:t>
            </w:r>
          </w:p>
        </w:tc>
      </w:tr>
      <w:tr>
        <w:tc>
          <w:tcPr>
            <w:tcW w:type="dxa" w:w="2880"/>
            <w:shd w:fill="F9FAFB" w:val="clear"/>
            <w:tcMar>
              <w:top w:type="dxa" w:w="80"/>
              <w:left w:type="dxa" w:w="120"/>
              <w:bottom w:type="dxa" w:w="80"/>
              <w:right w:type="dxa" w:w="120"/>
            </w:tcMar>
          </w:tcPr>
          <w:p>
            <w:r>
              <w:rPr>
                <w:b/>
                <w:bCs/>
                <w:color w:val="134E4A"/>
                <w:sz w:val="20"/>
                <w:szCs w:val="20"/>
              </w:rPr>
              <w:t xml:space="preserve">App Model</w:t>
            </w:r>
          </w:p>
        </w:tc>
        <w:tc>
          <w:tcPr>
            <w:tcW w:type="dxa" w:w="6480"/>
            <w:tcMar>
              <w:top w:type="dxa" w:w="80"/>
              <w:left w:type="dxa" w:w="120"/>
              <w:bottom w:type="dxa" w:w="80"/>
              <w:right w:type="dxa" w:w="120"/>
            </w:tcMar>
          </w:tcPr>
          <w:p>
            <w:r>
              <w:rPr>
                <w:color w:val="374151"/>
                <w:sz w:val="20"/>
                <w:szCs w:val="20"/>
              </w:rPr>
              <w:t xml:space="preserve">Single app, role-based (staff + patient)</w:t>
            </w:r>
          </w:p>
        </w:tc>
      </w:tr>
    </w:tbl>
    <w:p>
      <w:pPr>
        <w:spacing w:after="80"/>
      </w:pPr>
    </w:p>
    <w:p>
      <w:pPr>
        <w:pStyle w:val="Heading2"/>
        <w:spacing w:after="120" w:before="360"/>
      </w:pPr>
      <w:r>
        <w:t xml:space="preserve">8.4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shd w:fill="F9FAFB" w:val="clear"/>
            <w:tcMar>
              <w:top w:type="dxa" w:w="80"/>
              <w:left w:type="dxa" w:w="120"/>
              <w:bottom w:type="dxa" w:w="80"/>
              <w:right w:type="dxa" w:w="120"/>
            </w:tcMar>
          </w:tcPr>
          <w:p>
            <w:r>
              <w:rPr>
                <w:b/>
                <w:bCs/>
                <w:color w:val="134E4A"/>
                <w:sz w:val="20"/>
                <w:szCs w:val="20"/>
              </w:rPr>
              <w:t xml:space="preserve">Database</w:t>
            </w:r>
          </w:p>
        </w:tc>
        <w:tc>
          <w:tcPr>
            <w:tcW w:type="dxa" w:w="6480"/>
            <w:tcMar>
              <w:top w:type="dxa" w:w="80"/>
              <w:left w:type="dxa" w:w="120"/>
              <w:bottom w:type="dxa" w:w="80"/>
              <w:right w:type="dxa" w:w="120"/>
            </w:tcMar>
          </w:tcPr>
          <w:p>
            <w:r>
              <w:rPr>
                <w:color w:val="374151"/>
                <w:sz w:val="20"/>
                <w:szCs w:val="20"/>
              </w:rPr>
              <w:t xml:space="preserve">MySQL 9.7 LTS (PlanetScale — free tier)</w:t>
            </w:r>
          </w:p>
        </w:tc>
      </w:tr>
      <w:tr>
        <w:tc>
          <w:tcPr>
            <w:tcW w:type="dxa" w:w="2880"/>
            <w:shd w:fill="F9FAFB" w:val="clear"/>
            <w:tcMar>
              <w:top w:type="dxa" w:w="80"/>
              <w:left w:type="dxa" w:w="120"/>
              <w:bottom w:type="dxa" w:w="80"/>
              <w:right w:type="dxa" w:w="120"/>
            </w:tcMar>
          </w:tcPr>
          <w:p>
            <w:r>
              <w:rPr>
                <w:b/>
                <w:bCs/>
                <w:color w:val="134E4A"/>
                <w:sz w:val="20"/>
                <w:szCs w:val="20"/>
              </w:rPr>
              <w:t xml:space="preserve">Cache</w:t>
            </w:r>
          </w:p>
        </w:tc>
        <w:tc>
          <w:tcPr>
            <w:tcW w:type="dxa" w:w="6480"/>
            <w:tcMar>
              <w:top w:type="dxa" w:w="80"/>
              <w:left w:type="dxa" w:w="120"/>
              <w:bottom w:type="dxa" w:w="80"/>
              <w:right w:type="dxa" w:w="120"/>
            </w:tcMar>
          </w:tcPr>
          <w:p>
            <w:r>
              <w:rPr>
                <w:color w:val="374151"/>
                <w:sz w:val="20"/>
                <w:szCs w:val="20"/>
              </w:rPr>
              <w:t xml:space="preserve">Redis 8.10 (Upstash — free tier)</w:t>
            </w:r>
          </w:p>
        </w:tc>
      </w:tr>
      <w:tr>
        <w:tc>
          <w:tcPr>
            <w:tcW w:type="dxa" w:w="2880"/>
            <w:shd w:fill="F9FAFB" w:val="clear"/>
            <w:tcMar>
              <w:top w:type="dxa" w:w="80"/>
              <w:left w:type="dxa" w:w="120"/>
              <w:bottom w:type="dxa" w:w="80"/>
              <w:right w:type="dxa" w:w="120"/>
            </w:tcMar>
          </w:tcPr>
          <w:p>
            <w:r>
              <w:rPr>
                <w:b/>
                <w:bCs/>
                <w:color w:val="134E4A"/>
                <w:sz w:val="20"/>
                <w:szCs w:val="20"/>
              </w:rPr>
              <w:t xml:space="preserve">Frontend Hosting</w:t>
            </w:r>
          </w:p>
        </w:tc>
        <w:tc>
          <w:tcPr>
            <w:tcW w:type="dxa" w:w="6480"/>
            <w:tcMar>
              <w:top w:type="dxa" w:w="80"/>
              <w:left w:type="dxa" w:w="120"/>
              <w:bottom w:type="dxa" w:w="80"/>
              <w:right w:type="dxa" w:w="120"/>
            </w:tcMar>
          </w:tcPr>
          <w:p>
            <w:r>
              <w:rPr>
                <w:color w:val="374151"/>
                <w:sz w:val="20"/>
                <w:szCs w:val="20"/>
              </w:rPr>
              <w:t xml:space="preserve">Vercel (free tier)</w:t>
            </w:r>
          </w:p>
        </w:tc>
      </w:tr>
      <w:tr>
        <w:tc>
          <w:tcPr>
            <w:tcW w:type="dxa" w:w="2880"/>
            <w:shd w:fill="F9FAFB" w:val="clear"/>
            <w:tcMar>
              <w:top w:type="dxa" w:w="80"/>
              <w:left w:type="dxa" w:w="120"/>
              <w:bottom w:type="dxa" w:w="80"/>
              <w:right w:type="dxa" w:w="120"/>
            </w:tcMar>
          </w:tcPr>
          <w:p>
            <w:r>
              <w:rPr>
                <w:b/>
                <w:bCs/>
                <w:color w:val="134E4A"/>
                <w:sz w:val="20"/>
                <w:szCs w:val="20"/>
              </w:rPr>
              <w:t xml:space="preserve">Backend Hosting</w:t>
            </w:r>
          </w:p>
        </w:tc>
        <w:tc>
          <w:tcPr>
            <w:tcW w:type="dxa" w:w="6480"/>
            <w:tcMar>
              <w:top w:type="dxa" w:w="80"/>
              <w:left w:type="dxa" w:w="120"/>
              <w:bottom w:type="dxa" w:w="80"/>
              <w:right w:type="dxa" w:w="120"/>
            </w:tcMar>
          </w:tcPr>
          <w:p>
            <w:r>
              <w:rPr>
                <w:color w:val="374151"/>
                <w:sz w:val="20"/>
                <w:szCs w:val="20"/>
              </w:rPr>
              <w:t xml:space="preserve">Render (free tier, with UptimeRobot ping)</w:t>
            </w:r>
          </w:p>
        </w:tc>
      </w:tr>
      <w:tr>
        <w:tc>
          <w:tcPr>
            <w:tcW w:type="dxa" w:w="2880"/>
            <w:shd w:fill="F9FAFB" w:val="clear"/>
            <w:tcMar>
              <w:top w:type="dxa" w:w="80"/>
              <w:left w:type="dxa" w:w="120"/>
              <w:bottom w:type="dxa" w:w="80"/>
              <w:right w:type="dxa" w:w="120"/>
            </w:tcMar>
          </w:tcPr>
          <w:p>
            <w:r>
              <w:rPr>
                <w:b/>
                <w:bCs/>
                <w:color w:val="134E4A"/>
                <w:sz w:val="20"/>
                <w:szCs w:val="20"/>
              </w:rPr>
              <w:t xml:space="preserve">Storage</w:t>
            </w:r>
          </w:p>
        </w:tc>
        <w:tc>
          <w:tcPr>
            <w:tcW w:type="dxa" w:w="6480"/>
            <w:tcMar>
              <w:top w:type="dxa" w:w="80"/>
              <w:left w:type="dxa" w:w="120"/>
              <w:bottom w:type="dxa" w:w="80"/>
              <w:right w:type="dxa" w:w="120"/>
            </w:tcMar>
          </w:tcPr>
          <w:p>
            <w:r>
              <w:rPr>
                <w:color w:val="374151"/>
                <w:sz w:val="20"/>
                <w:szCs w:val="20"/>
              </w:rPr>
              <w:t xml:space="preserve">Cloudflare R2 (media, PDFs)</w:t>
            </w:r>
          </w:p>
        </w:tc>
      </w:tr>
      <w:tr>
        <w:tc>
          <w:tcPr>
            <w:tcW w:type="dxa" w:w="2880"/>
            <w:shd w:fill="F9FAFB" w:val="clear"/>
            <w:tcMar>
              <w:top w:type="dxa" w:w="80"/>
              <w:left w:type="dxa" w:w="120"/>
              <w:bottom w:type="dxa" w:w="80"/>
              <w:right w:type="dxa" w:w="120"/>
            </w:tcMar>
          </w:tcPr>
          <w:p>
            <w:r>
              <w:rPr>
                <w:b/>
                <w:bCs/>
                <w:color w:val="134E4A"/>
                <w:sz w:val="20"/>
                <w:szCs w:val="20"/>
              </w:rPr>
              <w:t xml:space="preserve">CI/CD</w:t>
            </w:r>
          </w:p>
        </w:tc>
        <w:tc>
          <w:tcPr>
            <w:tcW w:type="dxa" w:w="6480"/>
            <w:tcMar>
              <w:top w:type="dxa" w:w="80"/>
              <w:left w:type="dxa" w:w="120"/>
              <w:bottom w:type="dxa" w:w="80"/>
              <w:right w:type="dxa" w:w="120"/>
            </w:tcMar>
          </w:tcPr>
          <w:p>
            <w:r>
              <w:rPr>
                <w:color w:val="374151"/>
                <w:sz w:val="20"/>
                <w:szCs w:val="20"/>
              </w:rPr>
              <w:t xml:space="preserve">GitHub Actions</w:t>
            </w:r>
          </w:p>
        </w:tc>
      </w:tr>
      <w:tr>
        <w:tc>
          <w:tcPr>
            <w:tcW w:type="dxa" w:w="2880"/>
            <w:shd w:fill="F9FAFB" w:val="clear"/>
            <w:tcMar>
              <w:top w:type="dxa" w:w="80"/>
              <w:left w:type="dxa" w:w="120"/>
              <w:bottom w:type="dxa" w:w="80"/>
              <w:right w:type="dxa" w:w="120"/>
            </w:tcMar>
          </w:tcPr>
          <w:p>
            <w:r>
              <w:rPr>
                <w:b/>
                <w:bCs/>
                <w:color w:val="134E4A"/>
                <w:sz w:val="20"/>
                <w:szCs w:val="20"/>
              </w:rPr>
              <w:t xml:space="preserve">Container</w:t>
            </w:r>
          </w:p>
        </w:tc>
        <w:tc>
          <w:tcPr>
            <w:tcW w:type="dxa" w:w="6480"/>
            <w:tcMar>
              <w:top w:type="dxa" w:w="80"/>
              <w:left w:type="dxa" w:w="120"/>
              <w:bottom w:type="dxa" w:w="80"/>
              <w:right w:type="dxa" w:w="120"/>
            </w:tcMar>
          </w:tcPr>
          <w:p>
            <w:r>
              <w:rPr>
                <w:color w:val="374151"/>
                <w:sz w:val="20"/>
                <w:szCs w:val="20"/>
              </w:rPr>
              <w:t xml:space="preserve">Docker + Compose (local dev)</w:t>
            </w:r>
          </w:p>
        </w:tc>
      </w:tr>
      <w:tr>
        <w:tc>
          <w:tcPr>
            <w:tcW w:type="dxa" w:w="2880"/>
            <w:shd w:fill="F9FAFB" w:val="clear"/>
            <w:tcMar>
              <w:top w:type="dxa" w:w="80"/>
              <w:left w:type="dxa" w:w="120"/>
              <w:bottom w:type="dxa" w:w="80"/>
              <w:right w:type="dxa" w:w="120"/>
            </w:tcMar>
          </w:tcPr>
          <w:p>
            <w:r>
              <w:rPr>
                <w:b/>
                <w:bCs/>
                <w:color w:val="134E4A"/>
                <w:sz w:val="20"/>
                <w:szCs w:val="20"/>
              </w:rPr>
              <w:t xml:space="preserve">Proxy</w:t>
            </w:r>
          </w:p>
        </w:tc>
        <w:tc>
          <w:tcPr>
            <w:tcW w:type="dxa" w:w="6480"/>
            <w:tcMar>
              <w:top w:type="dxa" w:w="80"/>
              <w:left w:type="dxa" w:w="120"/>
              <w:bottom w:type="dxa" w:w="80"/>
              <w:right w:type="dxa" w:w="120"/>
            </w:tcMar>
          </w:tcPr>
          <w:p>
            <w:r>
              <w:rPr>
                <w:color w:val="374151"/>
                <w:sz w:val="20"/>
                <w:szCs w:val="20"/>
              </w:rPr>
              <w:t xml:space="preserve">Nginx</w:t>
            </w:r>
          </w:p>
        </w:tc>
      </w:tr>
      <w:tr>
        <w:tc>
          <w:tcPr>
            <w:tcW w:type="dxa" w:w="2880"/>
            <w:shd w:fill="F9FAFB" w:val="clear"/>
            <w:tcMar>
              <w:top w:type="dxa" w:w="80"/>
              <w:left w:type="dxa" w:w="120"/>
              <w:bottom w:type="dxa" w:w="80"/>
              <w:right w:type="dxa" w:w="120"/>
            </w:tcMar>
          </w:tcPr>
          <w:p>
            <w:r>
              <w:rPr>
                <w:b/>
                <w:bCs/>
                <w:color w:val="134E4A"/>
                <w:sz w:val="20"/>
                <w:szCs w:val="20"/>
              </w:rPr>
              <w:t xml:space="preserve">Uptime Monitoring</w:t>
            </w:r>
          </w:p>
        </w:tc>
        <w:tc>
          <w:tcPr>
            <w:tcW w:type="dxa" w:w="6480"/>
            <w:tcMar>
              <w:top w:type="dxa" w:w="80"/>
              <w:left w:type="dxa" w:w="120"/>
              <w:bottom w:type="dxa" w:w="80"/>
              <w:right w:type="dxa" w:w="120"/>
            </w:tcMar>
          </w:tcPr>
          <w:p>
            <w:r>
              <w:rPr>
                <w:color w:val="374151"/>
                <w:sz w:val="20"/>
                <w:szCs w:val="20"/>
              </w:rPr>
              <w:t xml:space="preserve">UptimeRobot (pings /api/health every 5 min)</w:t>
            </w:r>
          </w:p>
        </w:tc>
      </w:tr>
    </w:tbl>
    <w:p>
      <w:r>
        <w:br w:type="page"/>
      </w:r>
    </w:p>
    <w:p>
      <w:pPr>
        <w:pStyle w:val="Heading1"/>
        <w:pBdr>
          <w:bottom w:val="single" w:color="0D9488" w:sz="4"/>
        </w:pBdr>
        <w:spacing w:after="160" w:before="480"/>
      </w:pPr>
      <w:r>
        <w:t xml:space="preserve">9. Non-Functional Requirements</w:t>
      </w:r>
    </w:p>
    <w:p>
      <w:pPr>
        <w:pStyle w:val="Heading2"/>
        <w:spacing w:after="120" w:before="360"/>
      </w:pPr>
      <w:r>
        <w:t xml:space="preserve">9.1 Performance</w:t>
      </w:r>
    </w:p>
    <w:p>
      <w:pPr>
        <w:pStyle w:val="ListParagraph"/>
        <w:numPr>
          <w:ilvl w:val="0"/>
          <w:numId w:val="2"/>
        </w:numPr>
        <w:spacing w:after="60"/>
      </w:pPr>
      <w:r>
        <w:rPr>
          <w:color w:val="374151"/>
          <w:sz w:val="22"/>
          <w:szCs w:val="22"/>
        </w:rPr>
        <w:t xml:space="preserve">API read latency: p50 &lt; 100ms, p95 &lt; 200ms</w:t>
      </w:r>
    </w:p>
    <w:p>
      <w:pPr>
        <w:pStyle w:val="ListParagraph"/>
        <w:numPr>
          <w:ilvl w:val="0"/>
          <w:numId w:val="2"/>
        </w:numPr>
        <w:spacing w:after="60"/>
      </w:pPr>
      <w:r>
        <w:rPr>
          <w:color w:val="374151"/>
          <w:sz w:val="22"/>
          <w:szCs w:val="22"/>
        </w:rPr>
        <w:t xml:space="preserve">API write latency: p99 &lt; 500ms</w:t>
      </w:r>
    </w:p>
    <w:p>
      <w:pPr>
        <w:pStyle w:val="ListParagraph"/>
        <w:numPr>
          <w:ilvl w:val="0"/>
          <w:numId w:val="2"/>
        </w:numPr>
        <w:spacing w:after="60"/>
      </w:pPr>
      <w:r>
        <w:rPr>
          <w:color w:val="374151"/>
          <w:sz w:val="22"/>
          <w:szCs w:val="22"/>
        </w:rPr>
        <w:t xml:space="preserve">WebSocket queue event propagation: &lt; 500ms</w:t>
      </w:r>
    </w:p>
    <w:p>
      <w:pPr>
        <w:pStyle w:val="ListParagraph"/>
        <w:numPr>
          <w:ilvl w:val="0"/>
          <w:numId w:val="2"/>
        </w:numPr>
        <w:spacing w:after="60"/>
      </w:pPr>
      <w:r>
        <w:rPr>
          <w:color w:val="374151"/>
          <w:sz w:val="22"/>
          <w:szCs w:val="22"/>
        </w:rPr>
        <w:t xml:space="preserve">WhatsApp notification delivery: &lt; 5 seconds from trigger</w:t>
      </w:r>
    </w:p>
    <w:p>
      <w:pPr>
        <w:pStyle w:val="ListParagraph"/>
        <w:numPr>
          <w:ilvl w:val="0"/>
          <w:numId w:val="2"/>
        </w:numPr>
        <w:spacing w:after="60"/>
      </w:pPr>
      <w:r>
        <w:rPr>
          <w:color w:val="374151"/>
          <w:sz w:val="22"/>
          <w:szCs w:val="22"/>
        </w:rPr>
        <w:t xml:space="preserve">Concurrent users per clinic tenant: 50</w:t>
      </w:r>
    </w:p>
    <w:p>
      <w:pPr>
        <w:pStyle w:val="ListParagraph"/>
        <w:numPr>
          <w:ilvl w:val="0"/>
          <w:numId w:val="2"/>
        </w:numPr>
        <w:spacing w:after="60"/>
      </w:pPr>
      <w:r>
        <w:rPr>
          <w:color w:val="374151"/>
          <w:sz w:val="22"/>
          <w:szCs w:val="22"/>
        </w:rPr>
        <w:t xml:space="preserve">Database connection pool: min 2, max 20</w:t>
      </w:r>
    </w:p>
    <w:p>
      <w:pPr>
        <w:spacing w:after="80"/>
      </w:pPr>
    </w:p>
    <w:p>
      <w:pPr>
        <w:pStyle w:val="Heading2"/>
        <w:spacing w:after="120" w:before="360"/>
      </w:pPr>
      <w:r>
        <w:t xml:space="preserve">9.2 Security</w:t>
      </w:r>
    </w:p>
    <w:p>
      <w:pPr>
        <w:pStyle w:val="ListParagraph"/>
        <w:numPr>
          <w:ilvl w:val="0"/>
          <w:numId w:val="2"/>
        </w:numPr>
        <w:spacing w:after="60"/>
      </w:pPr>
      <w:r>
        <w:rPr>
          <w:color w:val="374151"/>
          <w:sz w:val="22"/>
          <w:szCs w:val="22"/>
        </w:rPr>
        <w:t xml:space="preserve">All endpoints require authenticated Sanctum session or token</w:t>
      </w:r>
    </w:p>
    <w:p>
      <w:pPr>
        <w:pStyle w:val="ListParagraph"/>
        <w:numPr>
          <w:ilvl w:val="0"/>
          <w:numId w:val="2"/>
        </w:numPr>
        <w:spacing w:after="60"/>
      </w:pPr>
      <w:r>
        <w:rPr>
          <w:color w:val="374151"/>
          <w:sz w:val="22"/>
          <w:szCs w:val="22"/>
        </w:rPr>
        <w:t xml:space="preserve">Multi-tenant isolation enforced via clinic_id scoping at middleware level — no cross-tenant data access possible</w:t>
      </w:r>
    </w:p>
    <w:p>
      <w:pPr>
        <w:pStyle w:val="ListParagraph"/>
        <w:numPr>
          <w:ilvl w:val="0"/>
          <w:numId w:val="2"/>
        </w:numPr>
        <w:spacing w:after="60"/>
      </w:pPr>
      <w:r>
        <w:rPr>
          <w:color w:val="374151"/>
          <w:sz w:val="22"/>
          <w:szCs w:val="22"/>
        </w:rPr>
        <w:t xml:space="preserve">Patient medical records accessible only with explicit patient consent (consent management module)</w:t>
      </w:r>
    </w:p>
    <w:p>
      <w:pPr>
        <w:pStyle w:val="ListParagraph"/>
        <w:numPr>
          <w:ilvl w:val="0"/>
          <w:numId w:val="2"/>
        </w:numPr>
        <w:spacing w:after="60"/>
      </w:pPr>
      <w:r>
        <w:rPr>
          <w:color w:val="374151"/>
          <w:sz w:val="22"/>
          <w:szCs w:val="22"/>
        </w:rPr>
        <w:t xml:space="preserve">Per-user permission overrides logged to activity log (Spatie)</w:t>
      </w:r>
    </w:p>
    <w:p>
      <w:pPr>
        <w:pStyle w:val="ListParagraph"/>
        <w:numPr>
          <w:ilvl w:val="0"/>
          <w:numId w:val="2"/>
        </w:numPr>
        <w:spacing w:after="60"/>
      </w:pPr>
      <w:r>
        <w:rPr>
          <w:color w:val="374151"/>
          <w:sz w:val="22"/>
          <w:szCs w:val="22"/>
        </w:rPr>
        <w:t xml:space="preserve">PHPStan level 8 enforced on all PHP code — zero type errors in CI</w:t>
      </w:r>
    </w:p>
    <w:p>
      <w:pPr>
        <w:pStyle w:val="ListParagraph"/>
        <w:numPr>
          <w:ilvl w:val="0"/>
          <w:numId w:val="2"/>
        </w:numPr>
        <w:spacing w:after="60"/>
      </w:pPr>
      <w:r>
        <w:rPr>
          <w:color w:val="374151"/>
          <w:sz w:val="22"/>
          <w:szCs w:val="22"/>
        </w:rPr>
        <w:t xml:space="preserve">HTTPS enforced on all production endpoints</w:t>
      </w:r>
    </w:p>
    <w:p>
      <w:pPr>
        <w:spacing w:after="80"/>
      </w:pPr>
    </w:p>
    <w:p>
      <w:pPr>
        <w:pStyle w:val="Heading2"/>
        <w:spacing w:after="120" w:before="360"/>
      </w:pPr>
      <w:r>
        <w:t xml:space="preserve">9.3 Regulatory Compliance</w:t>
      </w:r>
    </w:p>
    <w:p>
      <w:pPr>
        <w:pStyle w:val="ListParagraph"/>
        <w:numPr>
          <w:ilvl w:val="0"/>
          <w:numId w:val="2"/>
        </w:numPr>
        <w:spacing w:after="60"/>
      </w:pPr>
      <w:r>
        <w:rPr>
          <w:color w:val="374151"/>
          <w:sz w:val="22"/>
          <w:szCs w:val="22"/>
        </w:rPr>
        <w:t xml:space="preserve">RME fields comply with Permenkes No. 24 Tahun 2022, Pasal 3 &amp; 14</w:t>
      </w:r>
    </w:p>
    <w:p>
      <w:pPr>
        <w:pStyle w:val="ListParagraph"/>
        <w:numPr>
          <w:ilvl w:val="0"/>
          <w:numId w:val="2"/>
        </w:numPr>
        <w:spacing w:after="60"/>
      </w:pPr>
      <w:r>
        <w:rPr>
          <w:color w:val="374151"/>
          <w:sz w:val="22"/>
          <w:szCs w:val="22"/>
        </w:rPr>
        <w:t xml:space="preserve">NIK as universal patient identifier (per Permenkes 24/2022)</w:t>
      </w:r>
    </w:p>
    <w:p>
      <w:pPr>
        <w:pStyle w:val="ListParagraph"/>
        <w:numPr>
          <w:ilvl w:val="0"/>
          <w:numId w:val="2"/>
        </w:numPr>
        <w:spacing w:after="60"/>
      </w:pPr>
      <w:r>
        <w:rPr>
          <w:color w:val="374151"/>
          <w:sz w:val="22"/>
          <w:szCs w:val="22"/>
        </w:rPr>
        <w:t xml:space="preserve">Rujukan digital format aligned to 2026 competency-based referral regulation</w:t>
      </w:r>
    </w:p>
    <w:p>
      <w:pPr>
        <w:pStyle w:val="ListParagraph"/>
        <w:numPr>
          <w:ilvl w:val="0"/>
          <w:numId w:val="2"/>
        </w:numPr>
        <w:spacing w:after="60"/>
      </w:pPr>
      <w:r>
        <w:rPr>
          <w:color w:val="374151"/>
          <w:sz w:val="22"/>
          <w:szCs w:val="22"/>
        </w:rPr>
        <w:t xml:space="preserve">BPJS reporting outputs ICD-10 coded data in PDF and Excel formats</w:t>
      </w:r>
    </w:p>
    <w:p>
      <w:pPr>
        <w:spacing w:after="80"/>
      </w:pPr>
    </w:p>
    <w:p>
      <w:pPr>
        <w:pStyle w:val="Heading2"/>
        <w:spacing w:after="120" w:before="360"/>
      </w:pPr>
      <w:r>
        <w:t xml:space="preserve">9.4 Reliability</w:t>
      </w:r>
    </w:p>
    <w:p>
      <w:pPr>
        <w:pStyle w:val="ListParagraph"/>
        <w:numPr>
          <w:ilvl w:val="0"/>
          <w:numId w:val="2"/>
        </w:numPr>
        <w:spacing w:after="60"/>
      </w:pPr>
      <w:r>
        <w:rPr>
          <w:color w:val="374151"/>
          <w:sz w:val="22"/>
          <w:szCs w:val="22"/>
        </w:rPr>
        <w:t xml:space="preserve">Target uptime: 99.5% (monitored via UptimeRobot)</w:t>
      </w:r>
    </w:p>
    <w:p>
      <w:pPr>
        <w:pStyle w:val="ListParagraph"/>
        <w:numPr>
          <w:ilvl w:val="0"/>
          <w:numId w:val="2"/>
        </w:numPr>
        <w:spacing w:after="60"/>
      </w:pPr>
      <w:r>
        <w:rPr>
          <w:color w:val="374151"/>
          <w:sz w:val="22"/>
          <w:szCs w:val="22"/>
        </w:rPr>
        <w:t xml:space="preserve">/api/health endpoint for automated monitoring</w:t>
      </w:r>
    </w:p>
    <w:p>
      <w:pPr>
        <w:pStyle w:val="ListParagraph"/>
        <w:numPr>
          <w:ilvl w:val="0"/>
          <w:numId w:val="2"/>
        </w:numPr>
        <w:spacing w:after="60"/>
      </w:pPr>
      <w:r>
        <w:rPr>
          <w:color w:val="374151"/>
          <w:sz w:val="22"/>
          <w:szCs w:val="22"/>
        </w:rPr>
        <w:t xml:space="preserve">Graceful degradation: WebSocket disconnection falls back to polling</w:t>
      </w:r>
    </w:p>
    <w:p>
      <w:pPr>
        <w:pStyle w:val="ListParagraph"/>
        <w:numPr>
          <w:ilvl w:val="0"/>
          <w:numId w:val="2"/>
        </w:numPr>
        <w:spacing w:after="60"/>
      </w:pPr>
      <w:r>
        <w:rPr>
          <w:color w:val="374151"/>
          <w:sz w:val="22"/>
          <w:szCs w:val="22"/>
        </w:rPr>
        <w:t xml:space="preserve">WA notification delivery failure logged and retryable</w:t>
      </w:r>
    </w:p>
    <w:p>
      <w:pPr>
        <w:spacing w:after="80"/>
      </w:pPr>
    </w:p>
    <w:p>
      <w:pPr>
        <w:pStyle w:val="Heading2"/>
        <w:spacing w:after="120" w:before="360"/>
      </w:pPr>
      <w:r>
        <w:t xml:space="preserve">9.5 Maintainability</w:t>
      </w:r>
    </w:p>
    <w:p>
      <w:pPr>
        <w:pStyle w:val="ListParagraph"/>
        <w:numPr>
          <w:ilvl w:val="0"/>
          <w:numId w:val="2"/>
        </w:numPr>
        <w:spacing w:after="60"/>
      </w:pPr>
      <w:r>
        <w:rPr>
          <w:color w:val="374151"/>
          <w:sz w:val="22"/>
          <w:szCs w:val="22"/>
        </w:rPr>
        <w:t xml:space="preserve">Conventional Commits enforced for all commits (feat/fix/chore/docs/test/refactor/perf/style)</w:t>
      </w:r>
    </w:p>
    <w:p>
      <w:pPr>
        <w:pStyle w:val="ListParagraph"/>
        <w:numPr>
          <w:ilvl w:val="0"/>
          <w:numId w:val="2"/>
        </w:numPr>
        <w:spacing w:after="60"/>
      </w:pPr>
      <w:r>
        <w:rPr>
          <w:color w:val="374151"/>
          <w:sz w:val="22"/>
          <w:szCs w:val="22"/>
        </w:rPr>
        <w:t xml:space="preserve">Husky pre-commit: Pint + PHPStan + ESLint + Vue type check + Pest quick</w:t>
      </w:r>
    </w:p>
    <w:p>
      <w:pPr>
        <w:pStyle w:val="ListParagraph"/>
        <w:numPr>
          <w:ilvl w:val="0"/>
          <w:numId w:val="2"/>
        </w:numPr>
        <w:spacing w:after="60"/>
      </w:pPr>
      <w:r>
        <w:rPr>
          <w:color w:val="374151"/>
          <w:sz w:val="22"/>
          <w:szCs w:val="22"/>
        </w:rPr>
        <w:t xml:space="preserve">Husky pre-push: full Pest suite</w:t>
      </w:r>
    </w:p>
    <w:p>
      <w:pPr>
        <w:pStyle w:val="ListParagraph"/>
        <w:numPr>
          <w:ilvl w:val="0"/>
          <w:numId w:val="2"/>
        </w:numPr>
        <w:spacing w:after="60"/>
      </w:pPr>
      <w:r>
        <w:rPr>
          <w:color w:val="374151"/>
          <w:sz w:val="22"/>
          <w:szCs w:val="22"/>
        </w:rPr>
        <w:t xml:space="preserve">GitHub Actions CI: lint + type check + test + build on every push</w:t>
      </w:r>
    </w:p>
    <w:p>
      <w:pPr>
        <w:pStyle w:val="ListParagraph"/>
        <w:numPr>
          <w:ilvl w:val="0"/>
          <w:numId w:val="2"/>
        </w:numPr>
        <w:spacing w:after="60"/>
      </w:pPr>
      <w:r>
        <w:rPr>
          <w:color w:val="374151"/>
          <w:sz w:val="22"/>
          <w:szCs w:val="22"/>
        </w:rPr>
        <w:t xml:space="preserve">Branch protection on main and develop — PR required, CI must pass</w:t>
      </w:r>
    </w:p>
    <w:p>
      <w:pPr>
        <w:pStyle w:val="ListParagraph"/>
        <w:numPr>
          <w:ilvl w:val="0"/>
          <w:numId w:val="2"/>
        </w:numPr>
        <w:spacing w:after="60"/>
      </w:pPr>
      <w:r>
        <w:rPr>
          <w:color w:val="374151"/>
          <w:sz w:val="22"/>
          <w:szCs w:val="22"/>
        </w:rPr>
        <w:t xml:space="preserve">Test coverage ≥ 70% enforced in CI pipeline</w:t>
      </w:r>
    </w:p>
    <w:p>
      <w:r>
        <w:br w:type="page"/>
      </w:r>
    </w:p>
    <w:p>
      <w:pPr>
        <w:pStyle w:val="Heading1"/>
        <w:pBdr>
          <w:bottom w:val="single" w:color="0D9488" w:sz="4"/>
        </w:pBdr>
        <w:spacing w:after="160" w:before="480"/>
      </w:pPr>
      <w:r>
        <w:t xml:space="preserve">10. Demo Strategy</w:t>
      </w:r>
    </w:p>
    <w:p>
      <w:pPr>
        <w:spacing w:after="120"/>
      </w:pPr>
      <w:r>
        <w:rPr>
          <w:color w:val="374151"/>
          <w:sz w:val="22"/>
          <w:szCs w:val="22"/>
        </w:rPr>
        <w:t xml:space="preserve">Klinikku v1 is deployed as a live portfolio demo with three pre-seeded clinic environments. No real patient data. All data is simulated and clearly labeled.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0D9488" w:val="clear"/>
            <w:tcMar>
              <w:top w:type="dxa" w:w="80"/>
              <w:left w:type="dxa" w:w="120"/>
              <w:bottom w:type="dxa" w:w="80"/>
              <w:right w:type="dxa" w:w="120"/>
            </w:tcMar>
          </w:tcPr>
          <w:p>
            <w:r>
              <w:rPr>
                <w:b/>
                <w:bCs/>
                <w:color w:val="FFFFFF"/>
                <w:sz w:val="20"/>
                <w:szCs w:val="20"/>
              </w:rPr>
              <w:t xml:space="preserve">Demo Clinic</w:t>
            </w:r>
          </w:p>
        </w:tc>
        <w:tc>
          <w:tcPr>
            <w:tcW w:type="dxa" w:w="2200"/>
            <w:shd w:fill="0D9488" w:val="clear"/>
            <w:tcMar>
              <w:top w:type="dxa" w:w="80"/>
              <w:left w:type="dxa" w:w="120"/>
              <w:bottom w:type="dxa" w:w="80"/>
              <w:right w:type="dxa" w:w="120"/>
            </w:tcMar>
          </w:tcPr>
          <w:p>
            <w:r>
              <w:rPr>
                <w:b/>
                <w:bCs/>
                <w:color w:val="FFFFFF"/>
                <w:sz w:val="20"/>
                <w:szCs w:val="20"/>
              </w:rPr>
              <w:t xml:space="preserve">Type</w:t>
            </w:r>
          </w:p>
        </w:tc>
        <w:tc>
          <w:tcPr>
            <w:tcW w:type="dxa" w:w="4360"/>
            <w:shd w:fill="0D9488" w:val="clear"/>
            <w:tcMar>
              <w:top w:type="dxa" w:w="80"/>
              <w:left w:type="dxa" w:w="120"/>
              <w:bottom w:type="dxa" w:w="80"/>
              <w:right w:type="dxa" w:w="120"/>
            </w:tcMar>
          </w:tcPr>
          <w:p>
            <w:r>
              <w:rPr>
                <w:b/>
                <w:bCs/>
                <w:color w:val="FFFFFF"/>
                <w:sz w:val="20"/>
                <w:szCs w:val="20"/>
              </w:rPr>
              <w:t xml:space="preserve">Demonstrates</w:t>
            </w:r>
          </w:p>
        </w:tc>
      </w:tr>
      <w:tr>
        <w:tc>
          <w:tcPr>
            <w:tcW w:type="dxa" w:w="2800"/>
            <w:shd w:fill="F0FDFA" w:val="clear"/>
            <w:tcMar>
              <w:top w:type="dxa" w:w="80"/>
              <w:left w:type="dxa" w:w="120"/>
              <w:bottom w:type="dxa" w:w="80"/>
              <w:right w:type="dxa" w:w="120"/>
            </w:tcMar>
          </w:tcPr>
          <w:p>
            <w:r>
              <w:rPr>
                <w:b/>
                <w:bCs/>
                <w:color w:val="134E4A"/>
                <w:sz w:val="20"/>
                <w:szCs w:val="20"/>
              </w:rPr>
              <w:t xml:space="preserve">Praktek dr. Budi</w:t>
            </w:r>
          </w:p>
        </w:tc>
        <w:tc>
          <w:tcPr>
            <w:tcW w:type="dxa" w:w="2200"/>
            <w:tcMar>
              <w:top w:type="dxa" w:w="80"/>
              <w:left w:type="dxa" w:w="120"/>
              <w:bottom w:type="dxa" w:w="80"/>
              <w:right w:type="dxa" w:w="120"/>
            </w:tcMar>
          </w:tcPr>
          <w:p>
            <w:r>
              <w:rPr>
                <w:color w:val="374151"/>
                <w:sz w:val="20"/>
                <w:szCs w:val="20"/>
              </w:rPr>
              <w:t xml:space="preserve">Praktek Mandiri</w:t>
            </w:r>
          </w:p>
        </w:tc>
        <w:tc>
          <w:tcPr>
            <w:tcW w:type="dxa" w:w="4360"/>
            <w:tcMar>
              <w:top w:type="dxa" w:w="80"/>
              <w:left w:type="dxa" w:w="120"/>
              <w:bottom w:type="dxa" w:w="80"/>
              <w:right w:type="dxa" w:w="120"/>
            </w:tcMar>
          </w:tcPr>
          <w:p>
            <w:r>
              <w:rPr>
                <w:color w:val="374151"/>
                <w:sz w:val="20"/>
                <w:szCs w:val="20"/>
              </w:rPr>
              <w:t xml:space="preserve">Solo doctor, owner-as-all-roles, simplified queue</w:t>
            </w:r>
          </w:p>
        </w:tc>
      </w:tr>
      <w:tr>
        <w:tc>
          <w:tcPr>
            <w:tcW w:type="dxa" w:w="2800"/>
            <w:shd w:fill="F0FDFA" w:val="clear"/>
            <w:tcMar>
              <w:top w:type="dxa" w:w="80"/>
              <w:left w:type="dxa" w:w="120"/>
              <w:bottom w:type="dxa" w:w="80"/>
              <w:right w:type="dxa" w:w="120"/>
            </w:tcMar>
          </w:tcPr>
          <w:p>
            <w:r>
              <w:rPr>
                <w:b/>
                <w:bCs/>
                <w:color w:val="134E4A"/>
                <w:sz w:val="20"/>
                <w:szCs w:val="20"/>
              </w:rPr>
              <w:t xml:space="preserve">Klinik Sehat Bersama</w:t>
            </w:r>
          </w:p>
        </w:tc>
        <w:tc>
          <w:tcPr>
            <w:tcW w:type="dxa" w:w="2200"/>
            <w:tcMar>
              <w:top w:type="dxa" w:w="80"/>
              <w:left w:type="dxa" w:w="120"/>
              <w:bottom w:type="dxa" w:w="80"/>
              <w:right w:type="dxa" w:w="120"/>
            </w:tcMar>
          </w:tcPr>
          <w:p>
            <w:r>
              <w:rPr>
                <w:color w:val="374151"/>
                <w:sz w:val="20"/>
                <w:szCs w:val="20"/>
              </w:rPr>
              <w:t xml:space="preserve">Klinik Pratama</w:t>
            </w:r>
          </w:p>
        </w:tc>
        <w:tc>
          <w:tcPr>
            <w:tcW w:type="dxa" w:w="4360"/>
            <w:tcMar>
              <w:top w:type="dxa" w:w="80"/>
              <w:left w:type="dxa" w:w="120"/>
              <w:bottom w:type="dxa" w:w="80"/>
              <w:right w:type="dxa" w:w="120"/>
            </w:tcMar>
          </w:tcPr>
          <w:p>
            <w:r>
              <w:rPr>
                <w:color w:val="374151"/>
                <w:sz w:val="20"/>
                <w:szCs w:val="20"/>
              </w:rPr>
              <w:t xml:space="preserve">Multi-doctor, BPJS reporting, full staff roles</w:t>
            </w:r>
          </w:p>
        </w:tc>
      </w:tr>
      <w:tr>
        <w:tc>
          <w:tcPr>
            <w:tcW w:type="dxa" w:w="2800"/>
            <w:shd w:fill="F0FDFA" w:val="clear"/>
            <w:tcMar>
              <w:top w:type="dxa" w:w="80"/>
              <w:left w:type="dxa" w:w="120"/>
              <w:bottom w:type="dxa" w:w="80"/>
              <w:right w:type="dxa" w:w="120"/>
            </w:tcMar>
          </w:tcPr>
          <w:p>
            <w:r>
              <w:rPr>
                <w:b/>
                <w:bCs/>
                <w:color w:val="134E4A"/>
                <w:sz w:val="20"/>
                <w:szCs w:val="20"/>
              </w:rPr>
              <w:t xml:space="preserve">Klinik Spesialis Ananda</w:t>
            </w:r>
          </w:p>
        </w:tc>
        <w:tc>
          <w:tcPr>
            <w:tcW w:type="dxa" w:w="2200"/>
            <w:tcMar>
              <w:top w:type="dxa" w:w="80"/>
              <w:left w:type="dxa" w:w="120"/>
              <w:bottom w:type="dxa" w:w="80"/>
              <w:right w:type="dxa" w:w="120"/>
            </w:tcMar>
          </w:tcPr>
          <w:p>
            <w:r>
              <w:rPr>
                <w:color w:val="374151"/>
                <w:sz w:val="20"/>
                <w:szCs w:val="20"/>
              </w:rPr>
              <w:t xml:space="preserve">Klinik Utama</w:t>
            </w:r>
          </w:p>
        </w:tc>
        <w:tc>
          <w:tcPr>
            <w:tcW w:type="dxa" w:w="4360"/>
            <w:tcMar>
              <w:top w:type="dxa" w:w="80"/>
              <w:left w:type="dxa" w:w="120"/>
              <w:bottom w:type="dxa" w:w="80"/>
              <w:right w:type="dxa" w:w="120"/>
            </w:tcMar>
          </w:tcPr>
          <w:p>
            <w:r>
              <w:rPr>
                <w:color w:val="374151"/>
                <w:sz w:val="20"/>
                <w:szCs w:val="20"/>
              </w:rPr>
              <w:t xml:space="preserve">Specialist scheduling, appointment-first, advanced tindakan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9FAFB" w:val="clear"/>
            <w:tcMar>
              <w:top w:type="dxa" w:w="120"/>
              <w:left w:type="dxa" w:w="160"/>
              <w:bottom w:type="dxa" w:w="120"/>
              <w:right w:type="dxa" w:w="160"/>
            </w:tcMar>
          </w:tcPr>
          <w:p>
            <w:r>
              <w:rPr>
                <w:color w:val="374151"/>
                <w:sz w:val="20"/>
                <w:szCs w:val="20"/>
              </w:rPr>
              <w:t xml:space="preserve">Demo credentials are displayed on the login page. UptimeRobot pings /api/health every 5 minutes to prevent Render free-tier cold start. All screens show the banner: "Demo environment. All data is simulated."</w:t>
            </w:r>
          </w:p>
        </w:tc>
      </w:tr>
    </w:tbl>
    <w:p>
      <w:r>
        <w:br w:type="page"/>
      </w:r>
    </w:p>
    <w:p>
      <w:pPr>
        <w:pStyle w:val="Heading1"/>
        <w:pBdr>
          <w:bottom w:val="single" w:color="0D9488" w:sz="4"/>
        </w:pBdr>
        <w:spacing w:after="160" w:before="480"/>
      </w:pPr>
      <w:r>
        <w:t xml:space="preserve">11. Open Questions &amp; Decisions</w:t>
      </w:r>
    </w:p>
    <w:p>
      <w:pPr>
        <w:spacing w:after="120"/>
      </w:pPr>
      <w:r>
        <w:rPr>
          <w:color w:val="374151"/>
          <w:sz w:val="22"/>
          <w:szCs w:val="22"/>
        </w:rPr>
        <w:t xml:space="preserve">Items that are tracked as architectural decisions. Full ADRs are in /docs/adr/ in the project repository.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0D9488" w:val="clear"/>
            <w:tcMar>
              <w:top w:type="dxa" w:w="80"/>
              <w:left w:type="dxa" w:w="120"/>
              <w:bottom w:type="dxa" w:w="80"/>
              <w:right w:type="dxa" w:w="120"/>
            </w:tcMar>
          </w:tcPr>
          <w:p>
            <w:r>
              <w:rPr>
                <w:b/>
                <w:bCs/>
                <w:color w:val="FFFFFF"/>
                <w:sz w:val="20"/>
                <w:szCs w:val="20"/>
              </w:rPr>
              <w:t xml:space="preserve">Decision</w:t>
            </w:r>
          </w:p>
        </w:tc>
        <w:tc>
          <w:tcPr>
            <w:tcW w:type="dxa" w:w="2000"/>
            <w:shd w:fill="0D9488" w:val="clear"/>
            <w:tcMar>
              <w:top w:type="dxa" w:w="80"/>
              <w:left w:type="dxa" w:w="120"/>
              <w:bottom w:type="dxa" w:w="80"/>
              <w:right w:type="dxa" w:w="120"/>
            </w:tcMar>
          </w:tcPr>
          <w:p>
            <w:r>
              <w:rPr>
                <w:b/>
                <w:bCs/>
                <w:color w:val="FFFFFF"/>
                <w:sz w:val="20"/>
                <w:szCs w:val="20"/>
              </w:rPr>
              <w:t xml:space="preserve">Chosen</w:t>
            </w:r>
          </w:p>
        </w:tc>
        <w:tc>
          <w:tcPr>
            <w:tcW w:type="dxa" w:w="4160"/>
            <w:shd w:fill="0D9488" w:val="clear"/>
            <w:tcMar>
              <w:top w:type="dxa" w:w="80"/>
              <w:left w:type="dxa" w:w="120"/>
              <w:bottom w:type="dxa" w:w="80"/>
              <w:right w:type="dxa" w:w="120"/>
            </w:tcMar>
          </w:tcPr>
          <w:p>
            <w:r>
              <w:rPr>
                <w:b/>
                <w:bCs/>
                <w:color w:val="FFFFFF"/>
                <w:sz w:val="20"/>
                <w:szCs w:val="20"/>
              </w:rPr>
              <w:t xml:space="preserve">Rejected Alternative + Reason</w:t>
            </w:r>
          </w:p>
        </w:tc>
      </w:tr>
      <w:tr>
        <w:tc>
          <w:tcPr>
            <w:tcW w:type="dxa" w:w="3200"/>
            <w:shd w:fill="F0FDFA" w:val="clear"/>
            <w:tcMar>
              <w:top w:type="dxa" w:w="80"/>
              <w:left w:type="dxa" w:w="120"/>
              <w:bottom w:type="dxa" w:w="80"/>
              <w:right w:type="dxa" w:w="120"/>
            </w:tcMar>
          </w:tcPr>
          <w:p>
            <w:r>
              <w:rPr>
                <w:b/>
                <w:bCs/>
                <w:color w:val="134E4A"/>
                <w:sz w:val="20"/>
                <w:szCs w:val="20"/>
              </w:rPr>
              <w:t xml:space="preserve">Multi-tenancy strategy</w:t>
            </w:r>
          </w:p>
        </w:tc>
        <w:tc>
          <w:tcPr>
            <w:tcW w:type="dxa" w:w="2000"/>
            <w:tcMar>
              <w:top w:type="dxa" w:w="80"/>
              <w:left w:type="dxa" w:w="120"/>
              <w:bottom w:type="dxa" w:w="80"/>
              <w:right w:type="dxa" w:w="120"/>
            </w:tcMar>
          </w:tcPr>
          <w:p>
            <w:r>
              <w:rPr>
                <w:b/>
                <w:bCs/>
                <w:color w:val="10B981"/>
                <w:sz w:val="20"/>
                <w:szCs w:val="20"/>
              </w:rPr>
              <w:t xml:space="preserve">Single DB + clinic_id</w:t>
            </w:r>
          </w:p>
        </w:tc>
        <w:tc>
          <w:tcPr>
            <w:tcW w:type="dxa" w:w="4160"/>
            <w:tcMar>
              <w:top w:type="dxa" w:w="80"/>
              <w:left w:type="dxa" w:w="120"/>
              <w:bottom w:type="dxa" w:w="80"/>
              <w:right w:type="dxa" w:w="120"/>
            </w:tcMar>
          </w:tcPr>
          <w:p>
            <w:r>
              <w:rPr>
                <w:color w:val="6B7280"/>
                <w:sz w:val="20"/>
                <w:szCs w:val="20"/>
              </w:rPr>
              <w:t xml:space="preserve">Separate DB per tenant — operational overhead for free-tier infra</w:t>
            </w:r>
          </w:p>
        </w:tc>
      </w:tr>
      <w:tr>
        <w:tc>
          <w:tcPr>
            <w:tcW w:type="dxa" w:w="3200"/>
            <w:shd w:fill="F0FDFA" w:val="clear"/>
            <w:tcMar>
              <w:top w:type="dxa" w:w="80"/>
              <w:left w:type="dxa" w:w="120"/>
              <w:bottom w:type="dxa" w:w="80"/>
              <w:right w:type="dxa" w:w="120"/>
            </w:tcMar>
          </w:tcPr>
          <w:p>
            <w:r>
              <w:rPr>
                <w:b/>
                <w:bCs/>
                <w:color w:val="134E4A"/>
                <w:sz w:val="20"/>
                <w:szCs w:val="20"/>
              </w:rPr>
              <w:t xml:space="preserve">WebSocket provider</w:t>
            </w:r>
          </w:p>
        </w:tc>
        <w:tc>
          <w:tcPr>
            <w:tcW w:type="dxa" w:w="2000"/>
            <w:tcMar>
              <w:top w:type="dxa" w:w="80"/>
              <w:left w:type="dxa" w:w="120"/>
              <w:bottom w:type="dxa" w:w="80"/>
              <w:right w:type="dxa" w:w="120"/>
            </w:tcMar>
          </w:tcPr>
          <w:p>
            <w:r>
              <w:rPr>
                <w:b/>
                <w:bCs/>
                <w:color w:val="10B981"/>
                <w:sz w:val="20"/>
                <w:szCs w:val="20"/>
              </w:rPr>
              <w:t xml:space="preserve">Laravel Reverb (native)</w:t>
            </w:r>
          </w:p>
        </w:tc>
        <w:tc>
          <w:tcPr>
            <w:tcW w:type="dxa" w:w="4160"/>
            <w:tcMar>
              <w:top w:type="dxa" w:w="80"/>
              <w:left w:type="dxa" w:w="120"/>
              <w:bottom w:type="dxa" w:w="80"/>
              <w:right w:type="dxa" w:w="120"/>
            </w:tcMar>
          </w:tcPr>
          <w:p>
            <w:r>
              <w:rPr>
                <w:color w:val="6B7280"/>
                <w:sz w:val="20"/>
                <w:szCs w:val="20"/>
              </w:rPr>
              <w:t xml:space="preserve">Pusher — paid service, external dependency not needed</w:t>
            </w:r>
          </w:p>
        </w:tc>
      </w:tr>
      <w:tr>
        <w:tc>
          <w:tcPr>
            <w:tcW w:type="dxa" w:w="3200"/>
            <w:shd w:fill="F0FDFA" w:val="clear"/>
            <w:tcMar>
              <w:top w:type="dxa" w:w="80"/>
              <w:left w:type="dxa" w:w="120"/>
              <w:bottom w:type="dxa" w:w="80"/>
              <w:right w:type="dxa" w:w="120"/>
            </w:tcMar>
          </w:tcPr>
          <w:p>
            <w:r>
              <w:rPr>
                <w:b/>
                <w:bCs/>
                <w:color w:val="134E4A"/>
                <w:sz w:val="20"/>
                <w:szCs w:val="20"/>
              </w:rPr>
              <w:t xml:space="preserve">Permission system</w:t>
            </w:r>
          </w:p>
        </w:tc>
        <w:tc>
          <w:tcPr>
            <w:tcW w:type="dxa" w:w="2000"/>
            <w:tcMar>
              <w:top w:type="dxa" w:w="80"/>
              <w:left w:type="dxa" w:w="120"/>
              <w:bottom w:type="dxa" w:w="80"/>
              <w:right w:type="dxa" w:w="120"/>
            </w:tcMar>
          </w:tcPr>
          <w:p>
            <w:r>
              <w:rPr>
                <w:b/>
                <w:bCs/>
                <w:color w:val="10B981"/>
                <w:sz w:val="20"/>
                <w:szCs w:val="20"/>
              </w:rPr>
              <w:t xml:space="preserve">Spatie + 3-layer custom</w:t>
            </w:r>
          </w:p>
        </w:tc>
        <w:tc>
          <w:tcPr>
            <w:tcW w:type="dxa" w:w="4160"/>
            <w:tcMar>
              <w:top w:type="dxa" w:w="80"/>
              <w:left w:type="dxa" w:w="120"/>
              <w:bottom w:type="dxa" w:w="80"/>
              <w:right w:type="dxa" w:w="120"/>
            </w:tcMar>
          </w:tcPr>
          <w:p>
            <w:r>
              <w:rPr>
                <w:color w:val="6B7280"/>
                <w:sz w:val="20"/>
                <w:szCs w:val="20"/>
              </w:rPr>
              <w:t xml:space="preserve">Custom from scratch — Spatie covers 80%, custom covers the 3-layer UX</w:t>
            </w:r>
          </w:p>
        </w:tc>
      </w:tr>
      <w:tr>
        <w:tc>
          <w:tcPr>
            <w:tcW w:type="dxa" w:w="3200"/>
            <w:shd w:fill="F0FDFA" w:val="clear"/>
            <w:tcMar>
              <w:top w:type="dxa" w:w="80"/>
              <w:left w:type="dxa" w:w="120"/>
              <w:bottom w:type="dxa" w:w="80"/>
              <w:right w:type="dxa" w:w="120"/>
            </w:tcMar>
          </w:tcPr>
          <w:p>
            <w:r>
              <w:rPr>
                <w:b/>
                <w:bCs/>
                <w:color w:val="134E4A"/>
                <w:sz w:val="20"/>
                <w:szCs w:val="20"/>
              </w:rPr>
              <w:t xml:space="preserve">UI component library</w:t>
            </w:r>
          </w:p>
        </w:tc>
        <w:tc>
          <w:tcPr>
            <w:tcW w:type="dxa" w:w="2000"/>
            <w:tcMar>
              <w:top w:type="dxa" w:w="80"/>
              <w:left w:type="dxa" w:w="120"/>
              <w:bottom w:type="dxa" w:w="80"/>
              <w:right w:type="dxa" w:w="120"/>
            </w:tcMar>
          </w:tcPr>
          <w:p>
            <w:r>
              <w:rPr>
                <w:b/>
                <w:bCs/>
                <w:color w:val="10B981"/>
                <w:sz w:val="20"/>
                <w:szCs w:val="20"/>
              </w:rPr>
              <w:t xml:space="preserve">@nuxt/ui</w:t>
            </w:r>
          </w:p>
        </w:tc>
        <w:tc>
          <w:tcPr>
            <w:tcW w:type="dxa" w:w="4160"/>
            <w:tcMar>
              <w:top w:type="dxa" w:w="80"/>
              <w:left w:type="dxa" w:w="120"/>
              <w:bottom w:type="dxa" w:w="80"/>
              <w:right w:type="dxa" w:w="120"/>
            </w:tcMar>
          </w:tcPr>
          <w:p>
            <w:r>
              <w:rPr>
                <w:color w:val="6B7280"/>
                <w:sz w:val="20"/>
                <w:szCs w:val="20"/>
              </w:rPr>
              <w:t xml:space="preserve">Vuetify — heavier, less Tailwind-aligned</w:t>
            </w:r>
          </w:p>
        </w:tc>
      </w:tr>
      <w:tr>
        <w:tc>
          <w:tcPr>
            <w:tcW w:type="dxa" w:w="3200"/>
            <w:shd w:fill="F0FDFA" w:val="clear"/>
            <w:tcMar>
              <w:top w:type="dxa" w:w="80"/>
              <w:left w:type="dxa" w:w="120"/>
              <w:bottom w:type="dxa" w:w="80"/>
              <w:right w:type="dxa" w:w="120"/>
            </w:tcMar>
          </w:tcPr>
          <w:p>
            <w:r>
              <w:rPr>
                <w:b/>
                <w:bCs/>
                <w:color w:val="134E4A"/>
                <w:sz w:val="20"/>
                <w:szCs w:val="20"/>
              </w:rPr>
              <w:t xml:space="preserve">Native styling</w:t>
            </w:r>
          </w:p>
        </w:tc>
        <w:tc>
          <w:tcPr>
            <w:tcW w:type="dxa" w:w="2000"/>
            <w:tcMar>
              <w:top w:type="dxa" w:w="80"/>
              <w:left w:type="dxa" w:w="120"/>
              <w:bottom w:type="dxa" w:w="80"/>
              <w:right w:type="dxa" w:w="120"/>
            </w:tcMar>
          </w:tcPr>
          <w:p>
            <w:r>
              <w:rPr>
                <w:b/>
                <w:bCs/>
                <w:color w:val="10B981"/>
                <w:sz w:val="20"/>
                <w:szCs w:val="20"/>
              </w:rPr>
              <w:t xml:space="preserve">NativeWind v4 stable</w:t>
            </w:r>
          </w:p>
        </w:tc>
        <w:tc>
          <w:tcPr>
            <w:tcW w:type="dxa" w:w="4160"/>
            <w:tcMar>
              <w:top w:type="dxa" w:w="80"/>
              <w:left w:type="dxa" w:w="120"/>
              <w:bottom w:type="dxa" w:w="80"/>
              <w:right w:type="dxa" w:w="120"/>
            </w:tcMar>
          </w:tcPr>
          <w:p>
            <w:r>
              <w:rPr>
                <w:color w:val="6B7280"/>
                <w:sz w:val="20"/>
                <w:szCs w:val="20"/>
              </w:rPr>
              <w:t xml:space="preserve">NativeWind v5 — unstable as of Aug 2026</w:t>
            </w:r>
          </w:p>
        </w:tc>
      </w:tr>
      <w:tr>
        <w:tc>
          <w:tcPr>
            <w:tcW w:type="dxa" w:w="3200"/>
            <w:shd w:fill="F0FDFA" w:val="clear"/>
            <w:tcMar>
              <w:top w:type="dxa" w:w="80"/>
              <w:left w:type="dxa" w:w="120"/>
              <w:bottom w:type="dxa" w:w="80"/>
              <w:right w:type="dxa" w:w="120"/>
            </w:tcMar>
          </w:tcPr>
          <w:p>
            <w:r>
              <w:rPr>
                <w:b/>
                <w:bCs/>
                <w:color w:val="134E4A"/>
                <w:sz w:val="20"/>
                <w:szCs w:val="20"/>
              </w:rPr>
              <w:t xml:space="preserve">Mobile navigation</w:t>
            </w:r>
          </w:p>
        </w:tc>
        <w:tc>
          <w:tcPr>
            <w:tcW w:type="dxa" w:w="2000"/>
            <w:tcMar>
              <w:top w:type="dxa" w:w="80"/>
              <w:left w:type="dxa" w:w="120"/>
              <w:bottom w:type="dxa" w:w="80"/>
              <w:right w:type="dxa" w:w="120"/>
            </w:tcMar>
          </w:tcPr>
          <w:p>
            <w:r>
              <w:rPr>
                <w:b/>
                <w:bCs/>
                <w:color w:val="10B981"/>
                <w:sz w:val="20"/>
                <w:szCs w:val="20"/>
              </w:rPr>
              <w:t xml:space="preserve">Expo Router (file-based)</w:t>
            </w:r>
          </w:p>
        </w:tc>
        <w:tc>
          <w:tcPr>
            <w:tcW w:type="dxa" w:w="4160"/>
            <w:tcMar>
              <w:top w:type="dxa" w:w="80"/>
              <w:left w:type="dxa" w:w="120"/>
              <w:bottom w:type="dxa" w:w="80"/>
              <w:right w:type="dxa" w:w="120"/>
            </w:tcMar>
          </w:tcPr>
          <w:p>
            <w:r>
              <w:rPr>
                <w:color w:val="6B7280"/>
                <w:sz w:val="20"/>
                <w:szCs w:val="20"/>
              </w:rPr>
              <w:t xml:space="preserve">@react-navigation direct — Expo Router is the SDK 57 standard</w:t>
            </w:r>
          </w:p>
        </w:tc>
      </w:tr>
      <w:tr>
        <w:tc>
          <w:tcPr>
            <w:tcW w:type="dxa" w:w="3200"/>
            <w:shd w:fill="F0FDFA" w:val="clear"/>
            <w:tcMar>
              <w:top w:type="dxa" w:w="80"/>
              <w:left w:type="dxa" w:w="120"/>
              <w:bottom w:type="dxa" w:w="80"/>
              <w:right w:type="dxa" w:w="120"/>
            </w:tcMar>
          </w:tcPr>
          <w:p>
            <w:r>
              <w:rPr>
                <w:b/>
                <w:bCs/>
                <w:color w:val="134E4A"/>
                <w:sz w:val="20"/>
                <w:szCs w:val="20"/>
              </w:rPr>
              <w:t xml:space="preserve">Mobile app model</w:t>
            </w:r>
          </w:p>
        </w:tc>
        <w:tc>
          <w:tcPr>
            <w:tcW w:type="dxa" w:w="2000"/>
            <w:tcMar>
              <w:top w:type="dxa" w:w="80"/>
              <w:left w:type="dxa" w:w="120"/>
              <w:bottom w:type="dxa" w:w="80"/>
              <w:right w:type="dxa" w:w="120"/>
            </w:tcMar>
          </w:tcPr>
          <w:p>
            <w:r>
              <w:rPr>
                <w:b/>
                <w:bCs/>
                <w:color w:val="10B981"/>
                <w:sz w:val="20"/>
                <w:szCs w:val="20"/>
              </w:rPr>
              <w:t xml:space="preserve">Single app, role-based</w:t>
            </w:r>
          </w:p>
        </w:tc>
        <w:tc>
          <w:tcPr>
            <w:tcW w:type="dxa" w:w="4160"/>
            <w:tcMar>
              <w:top w:type="dxa" w:w="80"/>
              <w:left w:type="dxa" w:w="120"/>
              <w:bottom w:type="dxa" w:w="80"/>
              <w:right w:type="dxa" w:w="120"/>
            </w:tcMar>
          </w:tcPr>
          <w:p>
            <w:r>
              <w:rPr>
                <w:color w:val="6B7280"/>
                <w:sz w:val="20"/>
                <w:szCs w:val="20"/>
              </w:rPr>
              <w:t xml:space="preserve">Two separate apps — unnecessary duplication, harder to maintain</w:t>
            </w:r>
          </w:p>
        </w:tc>
      </w:tr>
      <w:tr>
        <w:tc>
          <w:tcPr>
            <w:tcW w:type="dxa" w:w="3200"/>
            <w:shd w:fill="F0FDFA" w:val="clear"/>
            <w:tcMar>
              <w:top w:type="dxa" w:w="80"/>
              <w:left w:type="dxa" w:w="120"/>
              <w:bottom w:type="dxa" w:w="80"/>
              <w:right w:type="dxa" w:w="120"/>
            </w:tcMar>
          </w:tcPr>
          <w:p>
            <w:r>
              <w:rPr>
                <w:b/>
                <w:bCs/>
                <w:color w:val="134E4A"/>
                <w:sz w:val="20"/>
                <w:szCs w:val="20"/>
              </w:rPr>
              <w:t xml:space="preserve">WA provider (demo)</w:t>
            </w:r>
          </w:p>
        </w:tc>
        <w:tc>
          <w:tcPr>
            <w:tcW w:type="dxa" w:w="2000"/>
            <w:tcMar>
              <w:top w:type="dxa" w:w="80"/>
              <w:left w:type="dxa" w:w="120"/>
              <w:bottom w:type="dxa" w:w="80"/>
              <w:right w:type="dxa" w:w="120"/>
            </w:tcMar>
          </w:tcPr>
          <w:p>
            <w:r>
              <w:rPr>
                <w:b/>
                <w:bCs/>
                <w:color w:val="10B981"/>
                <w:sz w:val="20"/>
                <w:szCs w:val="20"/>
              </w:rPr>
              <w:t xml:space="preserve">Fonnte</w:t>
            </w:r>
          </w:p>
        </w:tc>
        <w:tc>
          <w:tcPr>
            <w:tcW w:type="dxa" w:w="4160"/>
            <w:tcMar>
              <w:top w:type="dxa" w:w="80"/>
              <w:left w:type="dxa" w:w="120"/>
              <w:bottom w:type="dxa" w:w="80"/>
              <w:right w:type="dxa" w:w="120"/>
            </w:tcMar>
          </w:tcPr>
          <w:p>
            <w:r>
              <w:rPr>
                <w:color w:val="6B7280"/>
                <w:sz w:val="20"/>
                <w:szCs w:val="20"/>
              </w:rPr>
              <w:t xml:space="preserve">Meta WA Business API — 2–4 week approval, not feasible for demo</w:t>
            </w:r>
          </w:p>
        </w:tc>
      </w:tr>
      <w:tr>
        <w:tc>
          <w:tcPr>
            <w:tcW w:type="dxa" w:w="3200"/>
            <w:shd w:fill="F0FDFA" w:val="clear"/>
            <w:tcMar>
              <w:top w:type="dxa" w:w="80"/>
              <w:left w:type="dxa" w:w="120"/>
              <w:bottom w:type="dxa" w:w="80"/>
              <w:right w:type="dxa" w:w="120"/>
            </w:tcMar>
          </w:tcPr>
          <w:p>
            <w:r>
              <w:rPr>
                <w:b/>
                <w:bCs/>
                <w:color w:val="134E4A"/>
                <w:sz w:val="20"/>
                <w:szCs w:val="20"/>
              </w:rPr>
              <w:t xml:space="preserve">Push notif (demo)</w:t>
            </w:r>
          </w:p>
        </w:tc>
        <w:tc>
          <w:tcPr>
            <w:tcW w:type="dxa" w:w="2000"/>
            <w:tcMar>
              <w:top w:type="dxa" w:w="80"/>
              <w:left w:type="dxa" w:w="120"/>
              <w:bottom w:type="dxa" w:w="80"/>
              <w:right w:type="dxa" w:w="120"/>
            </w:tcMar>
          </w:tcPr>
          <w:p>
            <w:r>
              <w:rPr>
                <w:b/>
                <w:bCs/>
                <w:color w:val="10B981"/>
                <w:sz w:val="20"/>
                <w:szCs w:val="20"/>
              </w:rPr>
              <w:t xml:space="preserve">Expo local notifications</w:t>
            </w:r>
          </w:p>
        </w:tc>
        <w:tc>
          <w:tcPr>
            <w:tcW w:type="dxa" w:w="4160"/>
            <w:tcMar>
              <w:top w:type="dxa" w:w="80"/>
              <w:left w:type="dxa" w:w="120"/>
              <w:bottom w:type="dxa" w:w="80"/>
              <w:right w:type="dxa" w:w="120"/>
            </w:tcMar>
          </w:tcPr>
          <w:p>
            <w:r>
              <w:rPr>
                <w:color w:val="6B7280"/>
                <w:sz w:val="20"/>
                <w:szCs w:val="20"/>
              </w:rPr>
              <w:t xml:space="preserve">FCM — requires live App Store listing for full testing</w:t>
            </w:r>
          </w:p>
        </w:tc>
      </w:tr>
      <w:tr>
        <w:tc>
          <w:tcPr>
            <w:tcW w:type="dxa" w:w="3200"/>
            <w:shd w:fill="F0FDFA" w:val="clear"/>
            <w:tcMar>
              <w:top w:type="dxa" w:w="80"/>
              <w:left w:type="dxa" w:w="120"/>
              <w:bottom w:type="dxa" w:w="80"/>
              <w:right w:type="dxa" w:w="120"/>
            </w:tcMar>
          </w:tcPr>
          <w:p>
            <w:r>
              <w:rPr>
                <w:b/>
                <w:bCs/>
                <w:color w:val="134E4A"/>
                <w:sz w:val="20"/>
                <w:szCs w:val="20"/>
              </w:rPr>
              <w:t xml:space="preserve">Billing model</w:t>
            </w:r>
          </w:p>
        </w:tc>
        <w:tc>
          <w:tcPr>
            <w:tcW w:type="dxa" w:w="2000"/>
            <w:tcMar>
              <w:top w:type="dxa" w:w="80"/>
              <w:left w:type="dxa" w:w="120"/>
              <w:bottom w:type="dxa" w:w="80"/>
              <w:right w:type="dxa" w:w="120"/>
            </w:tcMar>
          </w:tcPr>
          <w:p>
            <w:r>
              <w:rPr>
                <w:b/>
                <w:bCs/>
                <w:color w:val="10B981"/>
                <w:sz w:val="20"/>
                <w:szCs w:val="20"/>
              </w:rPr>
              <w:t xml:space="preserve">Built-in (no external POS)</w:t>
            </w:r>
          </w:p>
        </w:tc>
        <w:tc>
          <w:tcPr>
            <w:tcW w:type="dxa" w:w="4160"/>
            <w:tcMar>
              <w:top w:type="dxa" w:w="80"/>
              <w:left w:type="dxa" w:w="120"/>
              <w:bottom w:type="dxa" w:w="80"/>
              <w:right w:type="dxa" w:w="120"/>
            </w:tcMar>
          </w:tcPr>
          <w:p>
            <w:r>
              <w:rPr>
                <w:color w:val="6B7280"/>
                <w:sz w:val="20"/>
                <w:szCs w:val="20"/>
              </w:rPr>
              <w:t xml:space="preserve">Moka/iReap — clinics prefer one integrated system</w:t>
            </w:r>
          </w:p>
        </w:tc>
      </w:tr>
    </w:tbl>
    <w:p>
      <w:pPr>
        <w:spacing w:after="160"/>
      </w:pPr>
    </w:p>
    <w:p>
      <w:pPr>
        <w:pBdr>
          <w:top w:val="single" w:color="E5E7EB" w:sz="2"/>
        </w:pBdr>
        <w:spacing w:after="0" w:before="240"/>
        <w:jc w:val="center"/>
      </w:pPr>
      <w:r>
        <w:rPr>
          <w:color w:val="9CA3AF"/>
          <w:sz w:val="18"/>
          <w:szCs w:val="18"/>
        </w:rPr>
        <w:t xml:space="preserve">Klinikku PRD v1.0  ·  August 2026  ·  </w:t>
      </w:r>
      <w:r>
        <w:rPr>
          <w:i/>
          <w:iCs/>
          <w:color w:val="9CA3AF"/>
          <w:sz w:val="18"/>
          <w:szCs w:val="18"/>
        </w:rPr>
        <w:t xml:space="preserve">This document is a living reference. Update when scope changes.</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74151"/>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Plus Jakarta Sans" w:cs="Plus Jakarta Sans" w:eastAsia="Plus Jakarta Sans" w:hAnsi="Plus Jakarta Sans"/>
      <w:b/>
      <w:bCs/>
      <w:color w:val="134E4A"/>
      <w:sz w:val="36"/>
      <w:szCs w:val="36"/>
    </w:rPr>
  </w:style>
  <w:style w:type="paragraph" w:styleId="Heading2">
    <w:name w:val="Heading 2"/>
    <w:basedOn w:val="Normal"/>
    <w:next w:val="Normal"/>
    <w:pPr>
      <w:spacing w:after="120" w:before="360"/>
      <w:outlineLvl w:val="1"/>
    </w:pPr>
    <w:rPr>
      <w:rFonts w:ascii="Plus Jakarta Sans" w:cs="Plus Jakarta Sans" w:eastAsia="Plus Jakarta Sans" w:hAnsi="Plus Jakarta Sans"/>
      <w:b/>
      <w:bCs/>
      <w:color w:val="0D9488"/>
      <w:sz w:val="28"/>
      <w:szCs w:val="28"/>
    </w:rPr>
  </w:style>
  <w:style w:type="paragraph" w:styleId="Heading3">
    <w:name w:val="Heading 3"/>
    <w:basedOn w:val="Normal"/>
    <w:next w:val="Normal"/>
    <w:pPr>
      <w:spacing w:after="80" w:before="240"/>
      <w:outlineLvl w:val="2"/>
    </w:pPr>
    <w:rPr>
      <w:rFonts w:ascii="Plus Jakarta Sans" w:cs="Plus Jakarta Sans" w:eastAsia="Plus Jakarta Sans" w:hAnsi="Plus Jakarta Sans"/>
      <w:b/>
      <w:bCs/>
      <w:color w:val="134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2026-08-08T09:42:53.932Z</dcterms:created>
  <dcterms:modified xsi:type="dcterms:W3CDTF">2026-08-08T09:42:53.949Z</dcterms:modified>
</cp:coreProperties>
</file>

<file path=docProps/custom.xml><?xml version="1.0" encoding="utf-8"?>
<Properties xmlns="http://schemas.openxmlformats.org/officeDocument/2006/custom-properties" xmlns:vt="http://schemas.openxmlformats.org/officeDocument/2006/docPropsVTypes"/>
</file>