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Plus Jakarta Sans" w:cs="Plus Jakarta Sans" w:eastAsia="Plus Jakarta Sans" w:hAnsi="Plus Jakarta Sans"/>
          <w:b/>
          <w:bCs/>
          <w:color w:val="0D9488"/>
          <w:sz w:val="72"/>
          <w:szCs w:val="72"/>
        </w:rPr>
        <w:t xml:space="preserve">KLINIKKU</w:t>
      </w:r>
    </w:p>
    <w:p>
      <w:pPr>
        <w:spacing w:after="240"/>
        <w:jc w:val="center"/>
      </w:pPr>
      <w:r>
        <w:rPr>
          <w:rFonts w:ascii="Plus Jakarta Sans" w:cs="Plus Jakarta Sans" w:eastAsia="Plus Jakarta Sans" w:hAnsi="Plus Jakarta Sans"/>
          <w:i/>
          <w:iCs/>
          <w:color w:val="134E4A"/>
          <w:sz w:val="26"/>
          <w:szCs w:val="26"/>
        </w:rPr>
        <w:t xml:space="preserve">Clinic operations, simplified.</w:t>
      </w:r>
    </w:p>
    <w:p>
      <w:pPr>
        <w:spacing w:after="80"/>
        <w:jc w:val="center"/>
      </w:pPr>
      <w:r>
        <w:rPr>
          <w:rFonts w:ascii="Plus Jakarta Sans" w:cs="Plus Jakarta Sans" w:eastAsia="Plus Jakarta Sans" w:hAnsi="Plus Jakarta Sans"/>
          <w:b/>
          <w:bCs/>
          <w:color w:val="134E4A"/>
          <w:sz w:val="38"/>
          <w:szCs w:val="38"/>
        </w:rPr>
        <w:t xml:space="preserve">Step 9 — Technical Design Document</w:t>
      </w:r>
    </w:p>
    <w:p>
      <w:pPr>
        <w:spacing w:after="480"/>
        <w:jc w:val="center"/>
      </w:pPr>
      <w:r>
        <w:rPr>
          <w:color w:val="6B7280"/>
          <w:sz w:val="22"/>
          <w:szCs w:val="22"/>
        </w:rPr>
        <w:t xml:space="preserve">Phase 1 — Planning &amp; Documentation  ·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80"/>
            </w:pPr>
            <w:r>
              <w:rPr>
                <w:b/>
                <w:bCs/>
                <w:color w:val="134E4A"/>
                <w:sz w:val="22"/>
                <w:szCs w:val="22"/>
              </w:rPr>
              <w:t xml:space="preserve">Document scope</w:t>
            </w:r>
          </w:p>
          <w:p>
            <w:pPr>
              <w:spacing w:after="0"/>
            </w:pPr>
            <w:r>
              <w:rPr>
                <w:color w:val="374151"/>
                <w:sz w:val="22"/>
                <w:szCs w:val="22"/>
              </w:rPr>
              <w:t xml:space="preserve">This TDD consolidates all technical decisions made during Phase 1 planning: system architecture, module design, data model, API contract, performance strategy, and 11 Architecture Decision Records (ADRs). It serves as the authoritative reference for Phase 3 development.</w:t>
            </w:r>
          </w:p>
        </w:tc>
      </w:tr>
    </w:tbl>
    <w:p>
      <w:r>
        <w:br w:type="page"/>
      </w:r>
    </w:p>
    <w:p>
      <w:pPr>
        <w:pStyle w:val="Heading1"/>
        <w:pBdr>
          <w:bottom w:val="single" w:color="0D9488" w:sz="4"/>
        </w:pBdr>
        <w:spacing w:after="160" w:before="480"/>
      </w:pPr>
      <w:r>
        <w:t xml:space="preserve">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F0FDFA" w:val="clear"/>
            <w:tcMar>
              <w:top w:type="dxa" w:w="80"/>
              <w:left w:type="dxa" w:w="120"/>
              <w:bottom w:type="dxa" w:w="80"/>
              <w:right w:type="dxa" w:w="120"/>
            </w:tcMar>
          </w:tcPr>
          <w:p>
            <w:r>
              <w:rPr>
                <w:b/>
                <w:bCs/>
                <w:color w:val="134E4A"/>
                <w:sz w:val="20"/>
                <w:szCs w:val="20"/>
              </w:rPr>
              <w:t xml:space="preserve">Product</w:t>
            </w:r>
          </w:p>
        </w:tc>
        <w:tc>
          <w:tcPr>
            <w:tcW w:type="dxa" w:w="6960"/>
            <w:shd w:fill="FFFFFF" w:val="clear"/>
            <w:tcMar>
              <w:top w:type="dxa" w:w="80"/>
              <w:left w:type="dxa" w:w="120"/>
              <w:bottom w:type="dxa" w:w="80"/>
              <w:right w:type="dxa" w:w="120"/>
            </w:tcMar>
          </w:tcPr>
          <w:p>
            <w:r>
              <w:rPr>
                <w:color w:val="374151"/>
                <w:sz w:val="20"/>
                <w:szCs w:val="20"/>
              </w:rPr>
              <w:t xml:space="preserve">Klinikku — Multi-tenant Clinic Operations Platform</w:t>
            </w:r>
          </w:p>
        </w:tc>
      </w:tr>
      <w:tr>
        <w:tc>
          <w:tcPr>
            <w:tcW w:type="dxa" w:w="2400"/>
            <w:shd w:fill="FFFFFF" w:val="clear"/>
            <w:tcMar>
              <w:top w:type="dxa" w:w="80"/>
              <w:left w:type="dxa" w:w="120"/>
              <w:bottom w:type="dxa" w:w="80"/>
              <w:right w:type="dxa" w:w="120"/>
            </w:tcMar>
          </w:tcPr>
          <w:p>
            <w:r>
              <w:rPr>
                <w:b/>
                <w:bCs/>
                <w:color w:val="134E4A"/>
                <w:sz w:val="20"/>
                <w:szCs w:val="20"/>
              </w:rPr>
              <w:t xml:space="preserve">Architecture</w:t>
            </w:r>
          </w:p>
        </w:tc>
        <w:tc>
          <w:tcPr>
            <w:tcW w:type="dxa" w:w="6960"/>
            <w:shd w:fill="F9FAFB" w:val="clear"/>
            <w:tcMar>
              <w:top w:type="dxa" w:w="80"/>
              <w:left w:type="dxa" w:w="120"/>
              <w:bottom w:type="dxa" w:w="80"/>
              <w:right w:type="dxa" w:w="120"/>
            </w:tcMar>
          </w:tcPr>
          <w:p>
            <w:r>
              <w:rPr>
                <w:color w:val="374151"/>
                <w:sz w:val="20"/>
                <w:szCs w:val="20"/>
              </w:rPr>
              <w:t xml:space="preserve">Monorepo · Single DB multi-tenancy · Feature flag per clinic type</w:t>
            </w:r>
          </w:p>
        </w:tc>
      </w:tr>
      <w:tr>
        <w:tc>
          <w:tcPr>
            <w:tcW w:type="dxa" w:w="2400"/>
            <w:shd w:fill="F0FDFA" w:val="clear"/>
            <w:tcMar>
              <w:top w:type="dxa" w:w="80"/>
              <w:left w:type="dxa" w:w="120"/>
              <w:bottom w:type="dxa" w:w="80"/>
              <w:right w:type="dxa" w:w="120"/>
            </w:tcMar>
          </w:tcPr>
          <w:p>
            <w:r>
              <w:rPr>
                <w:b/>
                <w:bCs/>
                <w:color w:val="134E4A"/>
                <w:sz w:val="20"/>
                <w:szCs w:val="20"/>
              </w:rPr>
              <w:t xml:space="preserve">Backend</w:t>
            </w:r>
          </w:p>
        </w:tc>
        <w:tc>
          <w:tcPr>
            <w:tcW w:type="dxa" w:w="6960"/>
            <w:shd w:fill="FFFFFF" w:val="clear"/>
            <w:tcMar>
              <w:top w:type="dxa" w:w="80"/>
              <w:left w:type="dxa" w:w="120"/>
              <w:bottom w:type="dxa" w:w="80"/>
              <w:right w:type="dxa" w:w="120"/>
            </w:tcMar>
          </w:tcPr>
          <w:p>
            <w:r>
              <w:rPr>
                <w:color w:val="374151"/>
                <w:sz w:val="20"/>
                <w:szCs w:val="20"/>
              </w:rPr>
              <w:t xml:space="preserve">Laravel 13 + PHP 8.5 · MySQL 9.7 · Redis 8.10</w:t>
            </w:r>
          </w:p>
        </w:tc>
      </w:tr>
      <w:tr>
        <w:tc>
          <w:tcPr>
            <w:tcW w:type="dxa" w:w="2400"/>
            <w:shd w:fill="FFFFFF" w:val="clear"/>
            <w:tcMar>
              <w:top w:type="dxa" w:w="80"/>
              <w:left w:type="dxa" w:w="120"/>
              <w:bottom w:type="dxa" w:w="80"/>
              <w:right w:type="dxa" w:w="120"/>
            </w:tcMar>
          </w:tcPr>
          <w:p>
            <w:r>
              <w:rPr>
                <w:b/>
                <w:bCs/>
                <w:color w:val="134E4A"/>
                <w:sz w:val="20"/>
                <w:szCs w:val="20"/>
              </w:rPr>
              <w:t xml:space="preserve">Frontend web</w:t>
            </w:r>
          </w:p>
        </w:tc>
        <w:tc>
          <w:tcPr>
            <w:tcW w:type="dxa" w:w="6960"/>
            <w:shd w:fill="F9FAFB" w:val="clear"/>
            <w:tcMar>
              <w:top w:type="dxa" w:w="80"/>
              <w:left w:type="dxa" w:w="120"/>
              <w:bottom w:type="dxa" w:w="80"/>
              <w:right w:type="dxa" w:w="120"/>
            </w:tcMar>
          </w:tcPr>
          <w:p>
            <w:r>
              <w:rPr>
                <w:color w:val="374151"/>
                <w:sz w:val="20"/>
                <w:szCs w:val="20"/>
              </w:rPr>
              <w:t xml:space="preserve">Nuxt 4 + Vue 3.5 + TypeScript 6 · @nuxt/ui · Pinia</w:t>
            </w:r>
          </w:p>
        </w:tc>
      </w:tr>
      <w:tr>
        <w:tc>
          <w:tcPr>
            <w:tcW w:type="dxa" w:w="2400"/>
            <w:shd w:fill="F0FDFA" w:val="clear"/>
            <w:tcMar>
              <w:top w:type="dxa" w:w="80"/>
              <w:left w:type="dxa" w:w="120"/>
              <w:bottom w:type="dxa" w:w="80"/>
              <w:right w:type="dxa" w:w="120"/>
            </w:tcMar>
          </w:tcPr>
          <w:p>
            <w:r>
              <w:rPr>
                <w:b/>
                <w:bCs/>
                <w:color w:val="134E4A"/>
                <w:sz w:val="20"/>
                <w:szCs w:val="20"/>
              </w:rPr>
              <w:t xml:space="preserve">Mobile</w:t>
            </w:r>
          </w:p>
        </w:tc>
        <w:tc>
          <w:tcPr>
            <w:tcW w:type="dxa" w:w="6960"/>
            <w:shd w:fill="FFFFFF" w:val="clear"/>
            <w:tcMar>
              <w:top w:type="dxa" w:w="80"/>
              <w:left w:type="dxa" w:w="120"/>
              <w:bottom w:type="dxa" w:w="80"/>
              <w:right w:type="dxa" w:w="120"/>
            </w:tcMar>
          </w:tcPr>
          <w:p>
            <w:r>
              <w:rPr>
                <w:color w:val="374151"/>
                <w:sz w:val="20"/>
                <w:szCs w:val="20"/>
              </w:rPr>
              <w:t xml:space="preserve">Expo SDK 57 · React Native 0.86 · Expo Router · NativeWind v4</w:t>
            </w:r>
          </w:p>
        </w:tc>
      </w:tr>
      <w:tr>
        <w:tc>
          <w:tcPr>
            <w:tcW w:type="dxa" w:w="2400"/>
            <w:shd w:fill="FFFFFF" w:val="clear"/>
            <w:tcMar>
              <w:top w:type="dxa" w:w="80"/>
              <w:left w:type="dxa" w:w="120"/>
              <w:bottom w:type="dxa" w:w="80"/>
              <w:right w:type="dxa" w:w="120"/>
            </w:tcMar>
          </w:tcPr>
          <w:p>
            <w:r>
              <w:rPr>
                <w:b/>
                <w:bCs/>
                <w:color w:val="134E4A"/>
                <w:sz w:val="20"/>
                <w:szCs w:val="20"/>
              </w:rPr>
              <w:t xml:space="preserve">WebSocket</w:t>
            </w:r>
          </w:p>
        </w:tc>
        <w:tc>
          <w:tcPr>
            <w:tcW w:type="dxa" w:w="6960"/>
            <w:shd w:fill="F9FAFB" w:val="clear"/>
            <w:tcMar>
              <w:top w:type="dxa" w:w="80"/>
              <w:left w:type="dxa" w:w="120"/>
              <w:bottom w:type="dxa" w:w="80"/>
              <w:right w:type="dxa" w:w="120"/>
            </w:tcMar>
          </w:tcPr>
          <w:p>
            <w:r>
              <w:rPr>
                <w:color w:val="374151"/>
                <w:sz w:val="20"/>
                <w:szCs w:val="20"/>
              </w:rPr>
              <w:t xml:space="preserve">Laravel Reverb (native, separate Render service)</w:t>
            </w:r>
          </w:p>
        </w:tc>
      </w:tr>
      <w:tr>
        <w:tc>
          <w:tcPr>
            <w:tcW w:type="dxa" w:w="2400"/>
            <w:shd w:fill="F0FDFA" w:val="clear"/>
            <w:tcMar>
              <w:top w:type="dxa" w:w="80"/>
              <w:left w:type="dxa" w:w="120"/>
              <w:bottom w:type="dxa" w:w="80"/>
              <w:right w:type="dxa" w:w="120"/>
            </w:tcMar>
          </w:tcPr>
          <w:p>
            <w:r>
              <w:rPr>
                <w:b/>
                <w:bCs/>
                <w:color w:val="134E4A"/>
                <w:sz w:val="20"/>
                <w:szCs w:val="20"/>
              </w:rPr>
              <w:t xml:space="preserve">Storage</w:t>
            </w:r>
          </w:p>
        </w:tc>
        <w:tc>
          <w:tcPr>
            <w:tcW w:type="dxa" w:w="6960"/>
            <w:shd w:fill="FFFFFF" w:val="clear"/>
            <w:tcMar>
              <w:top w:type="dxa" w:w="80"/>
              <w:left w:type="dxa" w:w="120"/>
              <w:bottom w:type="dxa" w:w="80"/>
              <w:right w:type="dxa" w:w="120"/>
            </w:tcMar>
          </w:tcPr>
          <w:p>
            <w:r>
              <w:rPr>
                <w:color w:val="374151"/>
                <w:sz w:val="20"/>
                <w:szCs w:val="20"/>
              </w:rPr>
              <w:t xml:space="preserve">Cloudflare R2 via Spatie Media Library</w:t>
            </w:r>
          </w:p>
        </w:tc>
      </w:tr>
      <w:tr>
        <w:tc>
          <w:tcPr>
            <w:tcW w:type="dxa" w:w="2400"/>
            <w:shd w:fill="FFFFFF" w:val="clear"/>
            <w:tcMar>
              <w:top w:type="dxa" w:w="80"/>
              <w:left w:type="dxa" w:w="120"/>
              <w:bottom w:type="dxa" w:w="80"/>
              <w:right w:type="dxa" w:w="120"/>
            </w:tcMar>
          </w:tcPr>
          <w:p>
            <w:r>
              <w:rPr>
                <w:b/>
                <w:bCs/>
                <w:color w:val="134E4A"/>
                <w:sz w:val="20"/>
                <w:szCs w:val="20"/>
              </w:rPr>
              <w:t xml:space="preserve">WA provider</w:t>
            </w:r>
          </w:p>
        </w:tc>
        <w:tc>
          <w:tcPr>
            <w:tcW w:type="dxa" w:w="6960"/>
            <w:shd w:fill="F9FAFB" w:val="clear"/>
            <w:tcMar>
              <w:top w:type="dxa" w:w="80"/>
              <w:left w:type="dxa" w:w="120"/>
              <w:bottom w:type="dxa" w:w="80"/>
              <w:right w:type="dxa" w:w="120"/>
            </w:tcMar>
          </w:tcPr>
          <w:p>
            <w:r>
              <w:rPr>
                <w:color w:val="374151"/>
                <w:sz w:val="20"/>
                <w:szCs w:val="20"/>
              </w:rPr>
              <w:t xml:space="preserve">Fonnte (demo) — abstracted for v2 migration to official API</w:t>
            </w:r>
          </w:p>
        </w:tc>
      </w:tr>
      <w:tr>
        <w:tc>
          <w:tcPr>
            <w:tcW w:type="dxa" w:w="2400"/>
            <w:shd w:fill="F0FDFA" w:val="clear"/>
            <w:tcMar>
              <w:top w:type="dxa" w:w="80"/>
              <w:left w:type="dxa" w:w="120"/>
              <w:bottom w:type="dxa" w:w="80"/>
              <w:right w:type="dxa" w:w="120"/>
            </w:tcMar>
          </w:tcPr>
          <w:p>
            <w:r>
              <w:rPr>
                <w:b/>
                <w:bCs/>
                <w:color w:val="134E4A"/>
                <w:sz w:val="20"/>
                <w:szCs w:val="20"/>
              </w:rPr>
              <w:t xml:space="preserve">AI</w:t>
            </w:r>
          </w:p>
        </w:tc>
        <w:tc>
          <w:tcPr>
            <w:tcW w:type="dxa" w:w="6960"/>
            <w:shd w:fill="FFFFFF" w:val="clear"/>
            <w:tcMar>
              <w:top w:type="dxa" w:w="80"/>
              <w:left w:type="dxa" w:w="120"/>
              <w:bottom w:type="dxa" w:w="80"/>
              <w:right w:type="dxa" w:w="120"/>
            </w:tcMar>
          </w:tcPr>
          <w:p>
            <w:r>
              <w:rPr>
                <w:color w:val="374151"/>
                <w:sz w:val="20"/>
                <w:szCs w:val="20"/>
              </w:rPr>
              <w:t xml:space="preserve">Gemini Flash API — assist only, never autonomous</w:t>
            </w:r>
          </w:p>
        </w:tc>
      </w:tr>
      <w:tr>
        <w:tc>
          <w:tcPr>
            <w:tcW w:type="dxa" w:w="2400"/>
            <w:shd w:fill="FFFFFF" w:val="clear"/>
            <w:tcMar>
              <w:top w:type="dxa" w:w="80"/>
              <w:left w:type="dxa" w:w="120"/>
              <w:bottom w:type="dxa" w:w="80"/>
              <w:right w:type="dxa" w:w="120"/>
            </w:tcMar>
          </w:tcPr>
          <w:p>
            <w:r>
              <w:rPr>
                <w:b/>
                <w:bCs/>
                <w:color w:val="134E4A"/>
                <w:sz w:val="20"/>
                <w:szCs w:val="20"/>
              </w:rPr>
              <w:t xml:space="preserve">Auth</w:t>
            </w:r>
          </w:p>
        </w:tc>
        <w:tc>
          <w:tcPr>
            <w:tcW w:type="dxa" w:w="6960"/>
            <w:shd w:fill="F9FAFB" w:val="clear"/>
            <w:tcMar>
              <w:top w:type="dxa" w:w="80"/>
              <w:left w:type="dxa" w:w="120"/>
              <w:bottom w:type="dxa" w:w="80"/>
              <w:right w:type="dxa" w:w="120"/>
            </w:tcMar>
          </w:tcPr>
          <w:p>
            <w:r>
              <w:rPr>
                <w:color w:val="374151"/>
                <w:sz w:val="20"/>
                <w:szCs w:val="20"/>
              </w:rPr>
              <w:t xml:space="preserve">Laravel Sanctum: cookie (web staff) · token (mobile)</w:t>
            </w:r>
          </w:p>
        </w:tc>
      </w:tr>
      <w:tr>
        <w:tc>
          <w:tcPr>
            <w:tcW w:type="dxa" w:w="2400"/>
            <w:shd w:fill="F0FDFA" w:val="clear"/>
            <w:tcMar>
              <w:top w:type="dxa" w:w="80"/>
              <w:left w:type="dxa" w:w="120"/>
              <w:bottom w:type="dxa" w:w="80"/>
              <w:right w:type="dxa" w:w="120"/>
            </w:tcMar>
          </w:tcPr>
          <w:p>
            <w:r>
              <w:rPr>
                <w:b/>
                <w:bCs/>
                <w:color w:val="134E4A"/>
                <w:sz w:val="20"/>
                <w:szCs w:val="20"/>
              </w:rPr>
              <w:t xml:space="preserve">RBAC</w:t>
            </w:r>
          </w:p>
        </w:tc>
        <w:tc>
          <w:tcPr>
            <w:tcW w:type="dxa" w:w="6960"/>
            <w:shd w:fill="FFFFFF" w:val="clear"/>
            <w:tcMar>
              <w:top w:type="dxa" w:w="80"/>
              <w:left w:type="dxa" w:w="120"/>
              <w:bottom w:type="dxa" w:w="80"/>
              <w:right w:type="dxa" w:w="120"/>
            </w:tcMar>
          </w:tcPr>
          <w:p>
            <w:r>
              <w:rPr>
                <w:color w:val="374151"/>
                <w:sz w:val="20"/>
                <w:szCs w:val="20"/>
              </w:rPr>
              <w:t xml:space="preserve">3-layer: system permissions + custom roles + per-user override</w:t>
            </w:r>
          </w:p>
        </w:tc>
      </w:tr>
      <w:tr>
        <w:tc>
          <w:tcPr>
            <w:tcW w:type="dxa" w:w="2400"/>
            <w:shd w:fill="FFFFFF" w:val="clear"/>
            <w:tcMar>
              <w:top w:type="dxa" w:w="80"/>
              <w:left w:type="dxa" w:w="120"/>
              <w:bottom w:type="dxa" w:w="80"/>
              <w:right w:type="dxa" w:w="120"/>
            </w:tcMar>
          </w:tcPr>
          <w:p>
            <w:r>
              <w:rPr>
                <w:b/>
                <w:bCs/>
                <w:color w:val="134E4A"/>
                <w:sz w:val="20"/>
                <w:szCs w:val="20"/>
              </w:rPr>
              <w:t xml:space="preserve">Deployment</w:t>
            </w:r>
          </w:p>
        </w:tc>
        <w:tc>
          <w:tcPr>
            <w:tcW w:type="dxa" w:w="6960"/>
            <w:shd w:fill="F9FAFB" w:val="clear"/>
            <w:tcMar>
              <w:top w:type="dxa" w:w="80"/>
              <w:left w:type="dxa" w:w="120"/>
              <w:bottom w:type="dxa" w:w="80"/>
              <w:right w:type="dxa" w:w="120"/>
            </w:tcMar>
          </w:tcPr>
          <w:p>
            <w:r>
              <w:rPr>
                <w:color w:val="374151"/>
                <w:sz w:val="20"/>
                <w:szCs w:val="20"/>
              </w:rPr>
              <w:t xml:space="preserve">Vercel (web) · Render (API + Reverb) · PlanetScale · Upstash</w:t>
            </w:r>
          </w:p>
        </w:tc>
      </w:tr>
    </w:tbl>
    <w:p>
      <w:r>
        <w:br w:type="page"/>
      </w:r>
    </w:p>
    <w:p>
      <w:pPr>
        <w:pStyle w:val="Heading1"/>
        <w:pBdr>
          <w:bottom w:val="single" w:color="0D9488" w:sz="4"/>
        </w:pBdr>
        <w:spacing w:after="160" w:before="480"/>
      </w:pPr>
      <w:r>
        <w:t xml:space="preserve">2. Architecture Decisions (ADRs)</w:t>
      </w:r>
    </w:p>
    <w:p>
      <w:pPr>
        <w:spacing w:after="120"/>
      </w:pPr>
      <w:r>
        <w:rPr>
          <w:color w:val="374151"/>
          <w:sz w:val="22"/>
          <w:szCs w:val="22"/>
        </w:rPr>
        <w:t xml:space="preserve">Each ADR documents a significant technical decision: its context, what was decided, why, what was rejected, and what consequences follow. These are referenced throughout the codebase via inline comments.</w:t>
      </w:r>
    </w:p>
    <w:p>
      <w:pPr>
        <w:spacing w:after="80"/>
      </w:pPr>
    </w:p>
    <w:p>
      <w:pPr>
        <w:pStyle w:val="Heading2"/>
        <w:spacing w:after="100" w:before="320"/>
      </w:pPr>
      <w:r>
        <w:t xml:space="preserve">ADR-001 — Single-database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0"/>
            </w:pPr>
            <w:r>
              <w:rPr>
                <w:b/>
                <w:bCs/>
                <w:color w:val="134E4A"/>
                <w:sz w:val="20"/>
                <w:szCs w:val="20"/>
              </w:rPr>
              <w:t xml:space="preserve">Status: </w:t>
            </w:r>
            <w:r>
              <w:rPr>
                <w:color w:val="374151"/>
                <w:sz w:val="20"/>
                <w:szCs w:val="20"/>
              </w:rPr>
              <w:t xml:space="preserve">Accepted</w:t>
            </w:r>
            <w:r>
              <w:rPr>
                <w:color w:val="6B7280"/>
                <w:sz w:val="20"/>
                <w:szCs w:val="20"/>
              </w:rPr>
              <w:t xml:space="preserve">   ·   Date: August 2026</w:t>
            </w:r>
          </w:p>
        </w:tc>
      </w:tr>
    </w:tbl>
    <w:p>
      <w:pPr>
        <w:spacing w:after="80"/>
      </w:pPr>
    </w:p>
    <w:p>
      <w:pPr>
        <w:pStyle w:val="Heading3"/>
        <w:spacing w:after="80" w:before="200"/>
      </w:pPr>
      <w:r>
        <w:t xml:space="preserve">Context</w:t>
      </w:r>
    </w:p>
    <w:p>
      <w:pPr>
        <w:spacing w:after="120"/>
      </w:pPr>
      <w:r>
        <w:rPr>
          <w:color w:val="374151"/>
          <w:sz w:val="22"/>
          <w:szCs w:val="22"/>
        </w:rPr>
        <w:t xml:space="preserve">Klinikku supports multiple clinic tenants. Two common approaches exist: separate database per tenant (database-per-tenant) or shared database with a tenant identifier column (shared-schema). The choice has significant implications for infrastructure cost, query complexity, and operational overhead.</w:t>
      </w:r>
    </w:p>
    <w:p>
      <w:pPr>
        <w:pStyle w:val="Heading3"/>
        <w:spacing w:after="80" w:before="200"/>
      </w:pPr>
      <w:r>
        <w:t xml:space="preserve">Decision</w:t>
      </w:r>
    </w:p>
    <w:p>
      <w:pPr>
        <w:spacing w:after="120"/>
      </w:pPr>
      <w:r>
        <w:rPr>
          <w:color w:val="374151"/>
          <w:sz w:val="22"/>
          <w:szCs w:val="22"/>
        </w:rPr>
        <w:t xml:space="preserve">Use a single MySQL database with clinic_id as a foreign key on all tenant-scoped tables. Tenant isolation is enforced via a global Eloquent scope (HasClinicScope) applied at middleware level.</w:t>
      </w:r>
    </w:p>
    <w:p>
      <w:pPr>
        <w:pStyle w:val="Heading3"/>
        <w:spacing w:after="80" w:before="200"/>
      </w:pPr>
      <w:r>
        <w:t xml:space="preserve">Rationale</w:t>
      </w:r>
    </w:p>
    <w:p>
      <w:pPr>
        <w:pStyle w:val="ListParagraph"/>
        <w:numPr>
          <w:ilvl w:val="0"/>
          <w:numId w:val="2"/>
        </w:numPr>
        <w:spacing w:after="60"/>
      </w:pPr>
      <w:r>
        <w:rPr>
          <w:color w:val="374151"/>
          <w:sz w:val="21"/>
          <w:szCs w:val="21"/>
        </w:rPr>
        <w:t xml:space="preserve">Portfolio deployment uses PlanetScale free tier, which has connection limits and does not support multiple databases economically.</w:t>
      </w:r>
    </w:p>
    <w:p>
      <w:pPr>
        <w:pStyle w:val="ListParagraph"/>
        <w:numPr>
          <w:ilvl w:val="0"/>
          <w:numId w:val="2"/>
        </w:numPr>
        <w:spacing w:after="60"/>
      </w:pPr>
      <w:r>
        <w:rPr>
          <w:color w:val="374151"/>
          <w:sz w:val="21"/>
          <w:szCs w:val="21"/>
        </w:rPr>
        <w:t xml:space="preserve">Single-database approach is the industry-standard pattern for early-stage SaaS — used by Basecamp, GitHub Enterprise (initial), and most Laravel multi-tenant packages (tenancy/tenancy).</w:t>
      </w:r>
    </w:p>
    <w:p>
      <w:pPr>
        <w:pStyle w:val="ListParagraph"/>
        <w:numPr>
          <w:ilvl w:val="0"/>
          <w:numId w:val="2"/>
        </w:numPr>
        <w:spacing w:after="60"/>
      </w:pPr>
      <w:r>
        <w:rPr>
          <w:color w:val="374151"/>
          <w:sz w:val="21"/>
          <w:szCs w:val="21"/>
        </w:rPr>
        <w:t xml:space="preserve">clinic_id scoping enforced at middleware level means no individual controller can accidentally expose cross-tenant data — the protection is structural, not dependent on developer discipline.</w:t>
      </w:r>
    </w:p>
    <w:p>
      <w:pPr>
        <w:pStyle w:val="ListParagraph"/>
        <w:numPr>
          <w:ilvl w:val="0"/>
          <w:numId w:val="2"/>
        </w:numPr>
        <w:spacing w:after="60"/>
      </w:pPr>
      <w:r>
        <w:rPr>
          <w:color w:val="374151"/>
          <w:sz w:val="21"/>
          <w:szCs w:val="21"/>
        </w:rPr>
        <w:t xml:space="preserve">Adding new clinic tenants requires zero schema migration — just a new row in the clinics table.</w:t>
      </w:r>
    </w:p>
    <w:p>
      <w:pPr>
        <w:pStyle w:val="ListParagraph"/>
        <w:numPr>
          <w:ilvl w:val="0"/>
          <w:numId w:val="2"/>
        </w:numPr>
        <w:spacing w:after="60"/>
      </w:pPr>
      <w:r>
        <w:rPr>
          <w:color w:val="374151"/>
          <w:sz w:val="21"/>
          <w:szCs w:val="21"/>
        </w:rPr>
        <w:t xml:space="preserve">Operational monitoring is simpler: one database to back up, one to monitor, one connection pool to manage.</w:t>
      </w:r>
    </w:p>
    <w:p>
      <w:pPr>
        <w:pStyle w:val="Heading3"/>
        <w:spacing w:after="80" w:before="200"/>
      </w:pPr>
      <w:r>
        <w:t xml:space="preserve">Rejected alternatives</w:t>
      </w:r>
    </w:p>
    <w:p>
      <w:pPr>
        <w:pStyle w:val="ListParagraph"/>
        <w:numPr>
          <w:ilvl w:val="0"/>
          <w:numId w:val="2"/>
        </w:numPr>
        <w:spacing w:after="60"/>
      </w:pPr>
      <w:r>
        <w:rPr>
          <w:color w:val="374151"/>
          <w:sz w:val="21"/>
          <w:szCs w:val="21"/>
        </w:rPr>
        <w:t xml:space="preserve">Database-per-tenant: rejected because PlanetScale free tier does not support multiple databases, and the operational overhead (migrations per tenant, connection pooling per tenant) is disproportionate to portfolio scale.</w:t>
      </w:r>
    </w:p>
    <w:p>
      <w:pPr>
        <w:pStyle w:val="ListParagraph"/>
        <w:numPr>
          <w:ilvl w:val="0"/>
          <w:numId w:val="2"/>
        </w:numPr>
        <w:spacing w:after="60"/>
      </w:pPr>
      <w:r>
        <w:rPr>
          <w:color w:val="374151"/>
          <w:sz w:val="21"/>
          <w:szCs w:val="21"/>
        </w:rPr>
        <w:t xml:space="preserve">Schema-per-tenant (PostgreSQL schemas): rejected because MySQL does not support schema-level isolation natively, and the approach adds complexity without meaningful benefit at this scale.</w:t>
      </w:r>
    </w:p>
    <w:p>
      <w:pPr>
        <w:pStyle w:val="Heading3"/>
        <w:spacing w:after="80" w:before="200"/>
      </w:pPr>
      <w:r>
        <w:t xml:space="preserve">Consequences</w:t>
      </w:r>
    </w:p>
    <w:p>
      <w:pPr>
        <w:pStyle w:val="ListParagraph"/>
        <w:numPr>
          <w:ilvl w:val="0"/>
          <w:numId w:val="2"/>
        </w:numPr>
        <w:spacing w:after="60"/>
      </w:pPr>
      <w:r>
        <w:rPr>
          <w:color w:val="374151"/>
          <w:sz w:val="21"/>
          <w:szCs w:val="21"/>
        </w:rPr>
        <w:t xml:space="preserve">A bug in the HasClinicScope trait could theoretically expose cross-tenant data — mitigated by PHPStan level 8 enforcement and integration tests that verify clinic_id scoping on every endpoint.</w:t>
      </w:r>
    </w:p>
    <w:p>
      <w:pPr>
        <w:pStyle w:val="ListParagraph"/>
        <w:numPr>
          <w:ilvl w:val="0"/>
          <w:numId w:val="2"/>
        </w:numPr>
        <w:spacing w:after="60"/>
      </w:pPr>
      <w:r>
        <w:rPr>
          <w:color w:val="374151"/>
          <w:sz w:val="21"/>
          <w:szCs w:val="21"/>
        </w:rPr>
        <w:t xml:space="preserve">At very large scale (10,000+ tenants), single-database may require read replicas and partitioning — documented in scalability plan.</w:t>
      </w:r>
    </w:p>
    <w:p>
      <w:pPr>
        <w:pStyle w:val="ListParagraph"/>
        <w:numPr>
          <w:ilvl w:val="0"/>
          <w:numId w:val="2"/>
        </w:numPr>
        <w:spacing w:after="60"/>
      </w:pPr>
      <w:r>
        <w:rPr>
          <w:color w:val="374151"/>
          <w:sz w:val="21"/>
          <w:szCs w:val="21"/>
        </w:rPr>
        <w:t xml:space="preserve">Query performance depends on composite indexes starting with clinic_id — all critical indexes defined in migrations.</w:t>
      </w:r>
    </w:p>
    <w:p>
      <w:pPr>
        <w:pStyle w:val="Heading3"/>
        <w:spacing w:after="80" w:before="200"/>
      </w:pPr>
      <w:r>
        <w:t xml:space="preserve">Roadmap</w:t>
      </w:r>
    </w:p>
    <w:p>
      <w:pPr>
        <w:spacing w:after="120"/>
      </w:pPr>
      <w:r>
        <w:rPr>
          <w:color w:val="374151"/>
          <w:sz w:val="22"/>
          <w:szCs w:val="22"/>
        </w:rPr>
        <w:t xml:space="preserve">v2: Evaluate read replicas on PlanetScale Scaler plan if single-clinic tenant data grows beyond 100k rows.</w:t>
      </w:r>
    </w:p>
    <w:p>
      <w:pPr>
        <w:pBdr>
          <w:bottom w:val="single" w:color="E5E7EB" w:sz="1"/>
        </w:pBdr>
        <w:spacing w:after="200" w:before="80"/>
      </w:pPr>
    </w:p>
    <w:p>
      <w:pPr>
        <w:pStyle w:val="Heading2"/>
        <w:spacing w:after="100" w:before="320"/>
      </w:pPr>
      <w:r>
        <w:t xml:space="preserve">ADR-002 — Laravel Reverb over Pusher for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0"/>
            </w:pPr>
            <w:r>
              <w:rPr>
                <w:b/>
                <w:bCs/>
                <w:color w:val="134E4A"/>
                <w:sz w:val="20"/>
                <w:szCs w:val="20"/>
              </w:rPr>
              <w:t xml:space="preserve">Status: </w:t>
            </w:r>
            <w:r>
              <w:rPr>
                <w:color w:val="374151"/>
                <w:sz w:val="20"/>
                <w:szCs w:val="20"/>
              </w:rPr>
              <w:t xml:space="preserve">Accepted</w:t>
            </w:r>
            <w:r>
              <w:rPr>
                <w:color w:val="6B7280"/>
                <w:sz w:val="20"/>
                <w:szCs w:val="20"/>
              </w:rPr>
              <w:t xml:space="preserve">   ·   Date: August 2026</w:t>
            </w:r>
          </w:p>
        </w:tc>
      </w:tr>
    </w:tbl>
    <w:p>
      <w:pPr>
        <w:spacing w:after="80"/>
      </w:pPr>
    </w:p>
    <w:p>
      <w:pPr>
        <w:pStyle w:val="Heading3"/>
        <w:spacing w:after="80" w:before="200"/>
      </w:pPr>
      <w:r>
        <w:t xml:space="preserve">Context</w:t>
      </w:r>
    </w:p>
    <w:p>
      <w:pPr>
        <w:spacing w:after="120"/>
      </w:pPr>
      <w:r>
        <w:rPr>
          <w:color w:val="374151"/>
          <w:sz w:val="22"/>
          <w:szCs w:val="22"/>
        </w:rPr>
        <w:t xml:space="preserve">Real-time queue updates, display screen refresh, and push notification delivery require a WebSocket server. Laravel supports multiple WebSocket providers: Pusher (SaaS), Ably (SaaS), and Reverb (self-hosted, native Laravel).</w:t>
      </w:r>
    </w:p>
    <w:p>
      <w:pPr>
        <w:pStyle w:val="Heading3"/>
        <w:spacing w:after="80" w:before="200"/>
      </w:pPr>
      <w:r>
        <w:t xml:space="preserve">Decision</w:t>
      </w:r>
    </w:p>
    <w:p>
      <w:pPr>
        <w:spacing w:after="120"/>
      </w:pPr>
      <w:r>
        <w:rPr>
          <w:color w:val="374151"/>
          <w:sz w:val="22"/>
          <w:szCs w:val="22"/>
        </w:rPr>
        <w:t xml:space="preserve">Use Laravel Reverb deployed as a separate Render service. Reverb is the official first-party Laravel WebSocket server introduced in Laravel 11.</w:t>
      </w:r>
    </w:p>
    <w:p>
      <w:pPr>
        <w:pStyle w:val="Heading3"/>
        <w:spacing w:after="80" w:before="200"/>
      </w:pPr>
      <w:r>
        <w:t xml:space="preserve">Rationale</w:t>
      </w:r>
    </w:p>
    <w:p>
      <w:pPr>
        <w:pStyle w:val="ListParagraph"/>
        <w:numPr>
          <w:ilvl w:val="0"/>
          <w:numId w:val="2"/>
        </w:numPr>
        <w:spacing w:after="60"/>
      </w:pPr>
      <w:r>
        <w:rPr>
          <w:color w:val="374151"/>
          <w:sz w:val="21"/>
          <w:szCs w:val="21"/>
        </w:rPr>
        <w:t xml:space="preserve">Pusher free tier limits to 100 concurrent connections and 200k messages/day — insufficient for demonstrating real-world clinic load.</w:t>
      </w:r>
    </w:p>
    <w:p>
      <w:pPr>
        <w:pStyle w:val="ListParagraph"/>
        <w:numPr>
          <w:ilvl w:val="0"/>
          <w:numId w:val="2"/>
        </w:numPr>
        <w:spacing w:after="60"/>
      </w:pPr>
      <w:r>
        <w:rPr>
          <w:color w:val="374151"/>
          <w:sz w:val="21"/>
          <w:szCs w:val="21"/>
        </w:rPr>
        <w:t xml:space="preserve">Reverb has zero per-message cost and no connection limits beyond infrastructure capacity.</w:t>
      </w:r>
    </w:p>
    <w:p>
      <w:pPr>
        <w:pStyle w:val="ListParagraph"/>
        <w:numPr>
          <w:ilvl w:val="0"/>
          <w:numId w:val="2"/>
        </w:numPr>
        <w:spacing w:after="60"/>
      </w:pPr>
      <w:r>
        <w:rPr>
          <w:color w:val="374151"/>
          <w:sz w:val="21"/>
          <w:szCs w:val="21"/>
        </w:rPr>
        <w:t xml:space="preserve">Reverb is native Laravel — no third-party SDK, same authentication as Sanctum, same broadcasting API.</w:t>
      </w:r>
    </w:p>
    <w:p>
      <w:pPr>
        <w:pStyle w:val="ListParagraph"/>
        <w:numPr>
          <w:ilvl w:val="0"/>
          <w:numId w:val="2"/>
        </w:numPr>
        <w:spacing w:after="60"/>
      </w:pPr>
      <w:r>
        <w:rPr>
          <w:color w:val="374151"/>
          <w:sz w:val="21"/>
          <w:szCs w:val="21"/>
        </w:rPr>
        <w:t xml:space="preserve">Self-hosting on Render free tier is feasible because Reverb is lightweight (PHP, not Node.js).</w:t>
      </w:r>
    </w:p>
    <w:p>
      <w:pPr>
        <w:pStyle w:val="ListParagraph"/>
        <w:numPr>
          <w:ilvl w:val="0"/>
          <w:numId w:val="2"/>
        </w:numPr>
        <w:spacing w:after="60"/>
      </w:pPr>
      <w:r>
        <w:rPr>
          <w:color w:val="374151"/>
          <w:sz w:val="21"/>
          <w:szCs w:val="21"/>
        </w:rPr>
        <w:t xml:space="preserve">Reverb uses the same pusher-js client protocol — zero frontend code change if provider is swapped in future.</w:t>
      </w:r>
    </w:p>
    <w:p>
      <w:pPr>
        <w:pStyle w:val="Heading3"/>
        <w:spacing w:after="80" w:before="200"/>
      </w:pPr>
      <w:r>
        <w:t xml:space="preserve">Rejected alternatives</w:t>
      </w:r>
    </w:p>
    <w:p>
      <w:pPr>
        <w:pStyle w:val="ListParagraph"/>
        <w:numPr>
          <w:ilvl w:val="0"/>
          <w:numId w:val="2"/>
        </w:numPr>
        <w:spacing w:after="60"/>
      </w:pPr>
      <w:r>
        <w:rPr>
          <w:color w:val="374151"/>
          <w:sz w:val="21"/>
          <w:szCs w:val="21"/>
        </w:rPr>
        <w:t xml:space="preserve">Pusher: rejected due to free tier limits and per-message cost at scale.</w:t>
      </w:r>
    </w:p>
    <w:p>
      <w:pPr>
        <w:pStyle w:val="ListParagraph"/>
        <w:numPr>
          <w:ilvl w:val="0"/>
          <w:numId w:val="2"/>
        </w:numPr>
        <w:spacing w:after="60"/>
      </w:pPr>
      <w:r>
        <w:rPr>
          <w:color w:val="374151"/>
          <w:sz w:val="21"/>
          <w:szCs w:val="21"/>
        </w:rPr>
        <w:t xml:space="preserve">Ably: rejected for the same reasons as Pusher.</w:t>
      </w:r>
    </w:p>
    <w:p>
      <w:pPr>
        <w:pStyle w:val="ListParagraph"/>
        <w:numPr>
          <w:ilvl w:val="0"/>
          <w:numId w:val="2"/>
        </w:numPr>
        <w:spacing w:after="60"/>
      </w:pPr>
      <w:r>
        <w:rPr>
          <w:color w:val="374151"/>
          <w:sz w:val="21"/>
          <w:szCs w:val="21"/>
        </w:rPr>
        <w:t xml:space="preserve">Socket.io (custom Node.js): rejected because it duplicates Reverb functionality and adds a Node.js service to maintain.</w:t>
      </w:r>
    </w:p>
    <w:p>
      <w:pPr>
        <w:pStyle w:val="Heading3"/>
        <w:spacing w:after="80" w:before="200"/>
      </w:pPr>
      <w:r>
        <w:t xml:space="preserve">Consequences</w:t>
      </w:r>
    </w:p>
    <w:p>
      <w:pPr>
        <w:pStyle w:val="ListParagraph"/>
        <w:numPr>
          <w:ilvl w:val="0"/>
          <w:numId w:val="2"/>
        </w:numPr>
        <w:spacing w:after="60"/>
      </w:pPr>
      <w:r>
        <w:rPr>
          <w:color w:val="374151"/>
          <w:sz w:val="21"/>
          <w:szCs w:val="21"/>
        </w:rPr>
        <w:t xml:space="preserve">Reverb requires a separate long-running Render service — free tier services spin down after inactivity. Mitigated by UptimeRobot ping.</w:t>
      </w:r>
    </w:p>
    <w:p>
      <w:pPr>
        <w:pStyle w:val="ListParagraph"/>
        <w:numPr>
          <w:ilvl w:val="0"/>
          <w:numId w:val="2"/>
        </w:numPr>
        <w:spacing w:after="60"/>
      </w:pPr>
      <w:r>
        <w:rPr>
          <w:color w:val="374151"/>
          <w:sz w:val="21"/>
          <w:szCs w:val="21"/>
        </w:rPr>
        <w:t xml:space="preserve">Horizontal scaling of Reverb requires sticky sessions (ip_hash in Nginx) — documented in scalability plan.</w:t>
      </w:r>
    </w:p>
    <w:p>
      <w:pPr>
        <w:pStyle w:val="ListParagraph"/>
        <w:numPr>
          <w:ilvl w:val="0"/>
          <w:numId w:val="2"/>
        </w:numPr>
        <w:spacing w:after="60"/>
      </w:pPr>
      <w:r>
        <w:rPr>
          <w:color w:val="374151"/>
          <w:sz w:val="21"/>
          <w:szCs w:val="21"/>
        </w:rPr>
        <w:t xml:space="preserve">WebSocket fallback to HTTP polling is implemented client-side for resilience.</w:t>
      </w:r>
    </w:p>
    <w:p>
      <w:pPr>
        <w:pStyle w:val="Heading3"/>
        <w:spacing w:after="80" w:before="200"/>
      </w:pPr>
      <w:r>
        <w:t xml:space="preserve">Roadmap</w:t>
      </w:r>
    </w:p>
    <w:p>
      <w:pPr>
        <w:spacing w:after="120"/>
      </w:pPr>
      <w:r>
        <w:rPr>
          <w:color w:val="374151"/>
          <w:sz w:val="22"/>
          <w:szCs w:val="22"/>
        </w:rPr>
        <w:t xml:space="preserve">v2: Evaluate Reverb horizontal scaling with Redis pub/sub backend if concurrent connections exceed 500.</w:t>
      </w:r>
    </w:p>
    <w:p>
      <w:pPr>
        <w:pBdr>
          <w:bottom w:val="single" w:color="E5E7EB" w:sz="1"/>
        </w:pBdr>
        <w:spacing w:after="200" w:before="80"/>
      </w:pPr>
    </w:p>
    <w:p>
      <w:pPr>
        <w:pStyle w:val="Heading2"/>
        <w:spacing w:after="100" w:before="320"/>
      </w:pPr>
      <w:r>
        <w:t xml:space="preserve">ADR-003 — Spatie ecosystem for RBAC, media, and activity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0"/>
            </w:pPr>
            <w:r>
              <w:rPr>
                <w:b/>
                <w:bCs/>
                <w:color w:val="134E4A"/>
                <w:sz w:val="20"/>
                <w:szCs w:val="20"/>
              </w:rPr>
              <w:t xml:space="preserve">Status: </w:t>
            </w:r>
            <w:r>
              <w:rPr>
                <w:color w:val="374151"/>
                <w:sz w:val="20"/>
                <w:szCs w:val="20"/>
              </w:rPr>
              <w:t xml:space="preserve">Accepted</w:t>
            </w:r>
            <w:r>
              <w:rPr>
                <w:color w:val="6B7280"/>
                <w:sz w:val="20"/>
                <w:szCs w:val="20"/>
              </w:rPr>
              <w:t xml:space="preserve">   ·   Date: August 2026</w:t>
            </w:r>
          </w:p>
        </w:tc>
      </w:tr>
    </w:tbl>
    <w:p>
      <w:pPr>
        <w:spacing w:after="80"/>
      </w:pPr>
    </w:p>
    <w:p>
      <w:pPr>
        <w:pStyle w:val="Heading3"/>
        <w:spacing w:after="80" w:before="200"/>
      </w:pPr>
      <w:r>
        <w:t xml:space="preserve">Context</w:t>
      </w:r>
    </w:p>
    <w:p>
      <w:pPr>
        <w:spacing w:after="120"/>
      </w:pPr>
      <w:r>
        <w:rPr>
          <w:color w:val="374151"/>
          <w:sz w:val="22"/>
          <w:szCs w:val="22"/>
        </w:rPr>
        <w:t xml:space="preserve">Klinikku requires a 3-layer RBAC system, media file management, and audit logging. These could be built from scratch or implemented using the Spatie package ecosystem for Laravel.</w:t>
      </w:r>
    </w:p>
    <w:p>
      <w:pPr>
        <w:pStyle w:val="Heading3"/>
        <w:spacing w:after="80" w:before="200"/>
      </w:pPr>
      <w:r>
        <w:t xml:space="preserve">Decision</w:t>
      </w:r>
    </w:p>
    <w:p>
      <w:pPr>
        <w:spacing w:after="120"/>
      </w:pPr>
      <w:r>
        <w:rPr>
          <w:color w:val="374151"/>
          <w:sz w:val="22"/>
          <w:szCs w:val="22"/>
        </w:rPr>
        <w:t xml:space="preserve">Use spatie/laravel-permission for RBAC, spatie/laravel-media-library for file management, and spatie/laravel-activitylog for audit logging. Extend laravel-permission with a custom Layer 3 per-user override mechanism.</w:t>
      </w:r>
    </w:p>
    <w:p>
      <w:pPr>
        <w:pStyle w:val="Heading3"/>
        <w:spacing w:after="80" w:before="200"/>
      </w:pPr>
      <w:r>
        <w:t xml:space="preserve">Rationale</w:t>
      </w:r>
    </w:p>
    <w:p>
      <w:pPr>
        <w:pStyle w:val="ListParagraph"/>
        <w:numPr>
          <w:ilvl w:val="0"/>
          <w:numId w:val="2"/>
        </w:numPr>
        <w:spacing w:after="60"/>
      </w:pPr>
      <w:r>
        <w:rPr>
          <w:color w:val="374151"/>
          <w:sz w:val="21"/>
          <w:szCs w:val="21"/>
        </w:rPr>
        <w:t xml:space="preserve">Spatie packages are the de facto standard in the Laravel ecosystem — maintained by a reputable team with 7+ years of active development.</w:t>
      </w:r>
    </w:p>
    <w:p>
      <w:pPr>
        <w:pStyle w:val="ListParagraph"/>
        <w:numPr>
          <w:ilvl w:val="0"/>
          <w:numId w:val="2"/>
        </w:numPr>
        <w:spacing w:after="60"/>
      </w:pPr>
      <w:r>
        <w:rPr>
          <w:color w:val="374151"/>
          <w:sz w:val="21"/>
          <w:szCs w:val="21"/>
        </w:rPr>
        <w:t xml:space="preserve">laravel-permission covers 100% of Layer 2 (custom roles) requirements and 80% of Layer 3 (per-user overrides) — the remaining 20% (explicit grant/revoke distinction) is addable via a single pivot column.</w:t>
      </w:r>
    </w:p>
    <w:p>
      <w:pPr>
        <w:pStyle w:val="ListParagraph"/>
        <w:numPr>
          <w:ilvl w:val="0"/>
          <w:numId w:val="2"/>
        </w:numPr>
        <w:spacing w:after="60"/>
      </w:pPr>
      <w:r>
        <w:rPr>
          <w:color w:val="374151"/>
          <w:sz w:val="21"/>
          <w:szCs w:val="21"/>
        </w:rPr>
        <w:t xml:space="preserve">laravel-media-library integrates with Cloudflare R2 via a custom disk driver — zero custom code needed for media storage.</w:t>
      </w:r>
    </w:p>
    <w:p>
      <w:pPr>
        <w:pStyle w:val="ListParagraph"/>
        <w:numPr>
          <w:ilvl w:val="0"/>
          <w:numId w:val="2"/>
        </w:numPr>
        <w:spacing w:after="60"/>
      </w:pPr>
      <w:r>
        <w:rPr>
          <w:color w:val="374151"/>
          <w:sz w:val="21"/>
          <w:szCs w:val="21"/>
        </w:rPr>
        <w:t xml:space="preserve">Using well-known packages signals to recruiters that the developer chooses proven solutions over reinventing wheels.</w:t>
      </w:r>
    </w:p>
    <w:p>
      <w:pPr>
        <w:pStyle w:val="Heading3"/>
        <w:spacing w:after="80" w:before="200"/>
      </w:pPr>
      <w:r>
        <w:t xml:space="preserve">Rejected alternatives</w:t>
      </w:r>
    </w:p>
    <w:p>
      <w:pPr>
        <w:pStyle w:val="ListParagraph"/>
        <w:numPr>
          <w:ilvl w:val="0"/>
          <w:numId w:val="2"/>
        </w:numPr>
        <w:spacing w:after="60"/>
      </w:pPr>
      <w:r>
        <w:rPr>
          <w:color w:val="374151"/>
          <w:sz w:val="21"/>
          <w:szCs w:val="21"/>
        </w:rPr>
        <w:t xml:space="preserve">Custom RBAC from scratch: rejected because it would take 2-3x longer to implement, test, and maintain without adding demonstrable value over Spatie.</w:t>
      </w:r>
    </w:p>
    <w:p>
      <w:pPr>
        <w:pStyle w:val="ListParagraph"/>
        <w:numPr>
          <w:ilvl w:val="0"/>
          <w:numId w:val="2"/>
        </w:numPr>
        <w:spacing w:after="60"/>
      </w:pPr>
      <w:r>
        <w:rPr>
          <w:color w:val="374151"/>
          <w:sz w:val="21"/>
          <w:szCs w:val="21"/>
        </w:rPr>
        <w:t xml:space="preserve">bouncer (alternative Laravel RBAC): rejected because Spatie has better documentation, wider community adoption, and first-class Laravel 13 support.</w:t>
      </w:r>
    </w:p>
    <w:p>
      <w:pPr>
        <w:pStyle w:val="Heading3"/>
        <w:spacing w:after="80" w:before="200"/>
      </w:pPr>
      <w:r>
        <w:t xml:space="preserve">Consequences</w:t>
      </w:r>
    </w:p>
    <w:p>
      <w:pPr>
        <w:pStyle w:val="ListParagraph"/>
        <w:numPr>
          <w:ilvl w:val="0"/>
          <w:numId w:val="2"/>
        </w:numPr>
        <w:spacing w:after="60"/>
      </w:pPr>
      <w:r>
        <w:rPr>
          <w:color w:val="374151"/>
          <w:sz w:val="21"/>
          <w:szCs w:val="21"/>
        </w:rPr>
        <w:t xml:space="preserve">Spatie permission tables are fixed in structure — the Layer 3 override uses an additional granted boolean column on model_has_permissions pivot.</w:t>
      </w:r>
    </w:p>
    <w:p>
      <w:pPr>
        <w:pStyle w:val="ListParagraph"/>
        <w:numPr>
          <w:ilvl w:val="0"/>
          <w:numId w:val="2"/>
        </w:numPr>
        <w:spacing w:after="60"/>
      </w:pPr>
      <w:r>
        <w:rPr>
          <w:color w:val="374151"/>
          <w:sz w:val="21"/>
          <w:szCs w:val="21"/>
        </w:rPr>
        <w:t xml:space="preserve">laravel-media-library adds two tables (media, media_conversions) — no clinic_id scoping needed since media is referenced via morph relationship.</w:t>
      </w:r>
    </w:p>
    <w:p>
      <w:pPr>
        <w:pStyle w:val="ListParagraph"/>
        <w:numPr>
          <w:ilvl w:val="0"/>
          <w:numId w:val="2"/>
        </w:numPr>
        <w:spacing w:after="60"/>
      </w:pPr>
      <w:r>
        <w:rPr>
          <w:color w:val="374151"/>
          <w:sz w:val="21"/>
          <w:szCs w:val="21"/>
        </w:rPr>
        <w:t xml:space="preserve">Activity log can generate significant write volume — log only owner/admin-level actions to keep table size manageable.</w:t>
      </w:r>
    </w:p>
    <w:p>
      <w:pPr>
        <w:pBdr>
          <w:bottom w:val="single" w:color="E5E7EB" w:sz="1"/>
        </w:pBdr>
        <w:spacing w:after="200" w:before="80"/>
      </w:pPr>
    </w:p>
    <w:p>
      <w:pPr>
        <w:pStyle w:val="Heading2"/>
        <w:spacing w:after="100" w:before="320"/>
      </w:pPr>
      <w:r>
        <w:t xml:space="preserve">ADR-004 — 3-layer RBAC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0"/>
            </w:pPr>
            <w:r>
              <w:rPr>
                <w:b/>
                <w:bCs/>
                <w:color w:val="134E4A"/>
                <w:sz w:val="20"/>
                <w:szCs w:val="20"/>
              </w:rPr>
              <w:t xml:space="preserve">Status: </w:t>
            </w:r>
            <w:r>
              <w:rPr>
                <w:color w:val="374151"/>
                <w:sz w:val="20"/>
                <w:szCs w:val="20"/>
              </w:rPr>
              <w:t xml:space="preserve">Accepted</w:t>
            </w:r>
            <w:r>
              <w:rPr>
                <w:color w:val="6B7280"/>
                <w:sz w:val="20"/>
                <w:szCs w:val="20"/>
              </w:rPr>
              <w:t xml:space="preserve">   ·   Date: August 2026</w:t>
            </w:r>
          </w:p>
        </w:tc>
      </w:tr>
    </w:tbl>
    <w:p>
      <w:pPr>
        <w:spacing w:after="80"/>
      </w:pPr>
    </w:p>
    <w:p>
      <w:pPr>
        <w:pStyle w:val="Heading3"/>
        <w:spacing w:after="80" w:before="200"/>
      </w:pPr>
      <w:r>
        <w:t xml:space="preserve">Context</w:t>
      </w:r>
    </w:p>
    <w:p>
      <w:pPr>
        <w:spacing w:after="120"/>
      </w:pPr>
      <w:r>
        <w:rPr>
          <w:color w:val="374151"/>
          <w:sz w:val="22"/>
          <w:szCs w:val="22"/>
        </w:rPr>
        <w:t xml:space="preserve">Healthcare clinics have complex, clinic-specific permission needs. A simple role-based system (assign role, done) is insufficient because: (1) different clinics name roles differently, (2) individual staff members may need exceptions to their role, and (3) the system must be configurable by clinic owners without developer intervention.</w:t>
      </w:r>
    </w:p>
    <w:p>
      <w:pPr>
        <w:pStyle w:val="Heading3"/>
        <w:spacing w:after="80" w:before="200"/>
      </w:pPr>
      <w:r>
        <w:t xml:space="preserve">Decision</w:t>
      </w:r>
    </w:p>
    <w:p>
      <w:pPr>
        <w:spacing w:after="120"/>
      </w:pPr>
      <w:r>
        <w:rPr>
          <w:color w:val="374151"/>
          <w:sz w:val="22"/>
          <w:szCs w:val="22"/>
        </w:rPr>
        <w:t xml:space="preserve">Implement 3-layer RBAC: Layer 1 (immutable system permissions defined in codebase), Layer 2 (custom roles per clinic, owner-configurable), Layer 3 (per-user permission overrides, explicit grant or revoke).</w:t>
      </w:r>
    </w:p>
    <w:p>
      <w:pPr>
        <w:pStyle w:val="Heading3"/>
        <w:spacing w:after="80" w:before="200"/>
      </w:pPr>
      <w:r>
        <w:t xml:space="preserve">Rationale</w:t>
      </w:r>
    </w:p>
    <w:p>
      <w:pPr>
        <w:pStyle w:val="ListParagraph"/>
        <w:numPr>
          <w:ilvl w:val="0"/>
          <w:numId w:val="2"/>
        </w:numPr>
        <w:spacing w:after="60"/>
      </w:pPr>
      <w:r>
        <w:rPr>
          <w:color w:val="374151"/>
          <w:sz w:val="21"/>
          <w:szCs w:val="21"/>
        </w:rPr>
        <w:t xml:space="preserve">Layer 1 as immutable system permissions means the security boundary is defined by developers, not configurable by clinic owners — owners customize within safe bounds.</w:t>
      </w:r>
    </w:p>
    <w:p>
      <w:pPr>
        <w:pStyle w:val="ListParagraph"/>
        <w:numPr>
          <w:ilvl w:val="0"/>
          <w:numId w:val="2"/>
        </w:numPr>
        <w:spacing w:after="60"/>
      </w:pPr>
      <w:r>
        <w:rPr>
          <w:color w:val="374151"/>
          <w:sz w:val="21"/>
          <w:szCs w:val="21"/>
        </w:rPr>
        <w:t xml:space="preserve">Layer 2 custom roles allow clinics to name roles in their own terminology ("Dokter Senior" instead of "Dokter PJ") and configure permission sets that match their workflow.</w:t>
      </w:r>
    </w:p>
    <w:p>
      <w:pPr>
        <w:pStyle w:val="ListParagraph"/>
        <w:numPr>
          <w:ilvl w:val="0"/>
          <w:numId w:val="2"/>
        </w:numPr>
        <w:spacing w:after="60"/>
      </w:pPr>
      <w:r>
        <w:rPr>
          <w:color w:val="374151"/>
          <w:sz w:val="21"/>
          <w:szCs w:val="21"/>
        </w:rPr>
        <w:t xml:space="preserve">Layer 3 per-user overrides handle edge cases (a specific nurse who also handles billing) without creating a new role just for one person.</w:t>
      </w:r>
    </w:p>
    <w:p>
      <w:pPr>
        <w:pStyle w:val="ListParagraph"/>
        <w:numPr>
          <w:ilvl w:val="0"/>
          <w:numId w:val="2"/>
        </w:numPr>
        <w:spacing w:after="60"/>
      </w:pPr>
      <w:r>
        <w:rPr>
          <w:color w:val="374151"/>
          <w:sz w:val="21"/>
          <w:szCs w:val="21"/>
        </w:rPr>
        <w:t xml:space="preserve">Resolution order (REVOKE wins → GRANT wins → role → deny) is explicit and auditable.</w:t>
      </w:r>
    </w:p>
    <w:p>
      <w:pPr>
        <w:pStyle w:val="Heading3"/>
        <w:spacing w:after="80" w:before="200"/>
      </w:pPr>
      <w:r>
        <w:t xml:space="preserve">Rejected alternatives</w:t>
      </w:r>
    </w:p>
    <w:p>
      <w:pPr>
        <w:pStyle w:val="ListParagraph"/>
        <w:numPr>
          <w:ilvl w:val="0"/>
          <w:numId w:val="2"/>
        </w:numPr>
        <w:spacing w:after="60"/>
      </w:pPr>
      <w:r>
        <w:rPr>
          <w:color w:val="374151"/>
          <w:sz w:val="21"/>
          <w:szCs w:val="21"/>
        </w:rPr>
        <w:t xml:space="preserve">Single-layer role system (assign fixed roles): rejected because it cannot accommodate the workflow diversity across 3 clinic types without creating dozens of hard-coded roles.</w:t>
      </w:r>
    </w:p>
    <w:p>
      <w:pPr>
        <w:pStyle w:val="ListParagraph"/>
        <w:numPr>
          <w:ilvl w:val="0"/>
          <w:numId w:val="2"/>
        </w:numPr>
        <w:spacing w:after="60"/>
      </w:pPr>
      <w:r>
        <w:rPr>
          <w:color w:val="374151"/>
          <w:sz w:val="21"/>
          <w:szCs w:val="21"/>
        </w:rPr>
        <w:t xml:space="preserve">Attribute-based access control (ABAC): rejected because it is significantly more complex to implement and explain, and the use cases do not require attribute-level granularity.</w:t>
      </w:r>
    </w:p>
    <w:p>
      <w:pPr>
        <w:pStyle w:val="Heading3"/>
        <w:spacing w:after="80" w:before="200"/>
      </w:pPr>
      <w:r>
        <w:t xml:space="preserve">Consequences</w:t>
      </w:r>
    </w:p>
    <w:p>
      <w:pPr>
        <w:pStyle w:val="ListParagraph"/>
        <w:numPr>
          <w:ilvl w:val="0"/>
          <w:numId w:val="2"/>
        </w:numPr>
        <w:spacing w:after="60"/>
      </w:pPr>
      <w:r>
        <w:rPr>
          <w:color w:val="374151"/>
          <w:sz w:val="21"/>
          <w:szCs w:val="21"/>
        </w:rPr>
        <w:t xml:space="preserve">Owner education is needed — the 3-layer system is more powerful but also more complex than simple role assignment.</w:t>
      </w:r>
    </w:p>
    <w:p>
      <w:pPr>
        <w:pStyle w:val="ListParagraph"/>
        <w:numPr>
          <w:ilvl w:val="0"/>
          <w:numId w:val="2"/>
        </w:numPr>
        <w:spacing w:after="60"/>
      </w:pPr>
      <w:r>
        <w:rPr>
          <w:color w:val="374151"/>
          <w:sz w:val="21"/>
          <w:szCs w:val="21"/>
        </w:rPr>
        <w:t xml:space="preserve">Permission resolution adds one extra DB query per request (Layer 3 check) — mitigated by Spatie's built-in caching.</w:t>
      </w:r>
    </w:p>
    <w:p>
      <w:pPr>
        <w:pStyle w:val="ListParagraph"/>
        <w:numPr>
          <w:ilvl w:val="0"/>
          <w:numId w:val="2"/>
        </w:numPr>
        <w:spacing w:after="60"/>
      </w:pPr>
      <w:r>
        <w:rPr>
          <w:color w:val="374151"/>
          <w:sz w:val="21"/>
          <w:szCs w:val="21"/>
        </w:rPr>
        <w:t xml:space="preserve">UI for role builder must be carefully designed to prevent owners from creating conflicting permission configurations.</w:t>
      </w:r>
    </w:p>
    <w:p>
      <w:pPr>
        <w:pBdr>
          <w:bottom w:val="single" w:color="E5E7EB" w:sz="1"/>
        </w:pBdr>
        <w:spacing w:after="200" w:before="80"/>
      </w:pPr>
    </w:p>
    <w:p>
      <w:pPr>
        <w:pStyle w:val="Heading2"/>
        <w:spacing w:after="100" w:before="320"/>
      </w:pPr>
      <w:r>
        <w:t xml:space="preserve">ADR-005 — @nuxt/ui over Vuetify for web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0"/>
            </w:pPr>
            <w:r>
              <w:rPr>
                <w:b/>
                <w:bCs/>
                <w:color w:val="134E4A"/>
                <w:sz w:val="20"/>
                <w:szCs w:val="20"/>
              </w:rPr>
              <w:t xml:space="preserve">Status: </w:t>
            </w:r>
            <w:r>
              <w:rPr>
                <w:color w:val="374151"/>
                <w:sz w:val="20"/>
                <w:szCs w:val="20"/>
              </w:rPr>
              <w:t xml:space="preserve">Accepted</w:t>
            </w:r>
            <w:r>
              <w:rPr>
                <w:color w:val="6B7280"/>
                <w:sz w:val="20"/>
                <w:szCs w:val="20"/>
              </w:rPr>
              <w:t xml:space="preserve">   ·   Date: August 2026</w:t>
            </w:r>
          </w:p>
        </w:tc>
      </w:tr>
    </w:tbl>
    <w:p>
      <w:pPr>
        <w:spacing w:after="80"/>
      </w:pPr>
    </w:p>
    <w:p>
      <w:pPr>
        <w:pStyle w:val="Heading3"/>
        <w:spacing w:after="80" w:before="200"/>
      </w:pPr>
      <w:r>
        <w:t xml:space="preserve">Context</w:t>
      </w:r>
    </w:p>
    <w:p>
      <w:pPr>
        <w:spacing w:after="120"/>
      </w:pPr>
      <w:r>
        <w:rPr>
          <w:color w:val="374151"/>
          <w:sz w:val="22"/>
          <w:szCs w:val="22"/>
        </w:rPr>
        <w:t xml:space="preserve">Klinikku web app requires a component library. Two primary options for Nuxt 4: @nuxt/ui (official Nuxt UI library, Tailwind-based) and Vuetify (Material Design, long-established).</w:t>
      </w:r>
    </w:p>
    <w:p>
      <w:pPr>
        <w:pStyle w:val="Heading3"/>
        <w:spacing w:after="80" w:before="200"/>
      </w:pPr>
      <w:r>
        <w:t xml:space="preserve">Decision</w:t>
      </w:r>
    </w:p>
    <w:p>
      <w:pPr>
        <w:spacing w:after="120"/>
      </w:pPr>
      <w:r>
        <w:rPr>
          <w:color w:val="374151"/>
          <w:sz w:val="22"/>
          <w:szCs w:val="22"/>
        </w:rPr>
        <w:t xml:space="preserve">Use @nuxt/ui as the primary component library, supplemented by custom components where needed. All styling via Tailwind CSS.</w:t>
      </w:r>
    </w:p>
    <w:p>
      <w:pPr>
        <w:pStyle w:val="Heading3"/>
        <w:spacing w:after="80" w:before="200"/>
      </w:pPr>
      <w:r>
        <w:t xml:space="preserve">Rationale</w:t>
      </w:r>
    </w:p>
    <w:p>
      <w:pPr>
        <w:pStyle w:val="ListParagraph"/>
        <w:numPr>
          <w:ilvl w:val="0"/>
          <w:numId w:val="2"/>
        </w:numPr>
        <w:spacing w:after="60"/>
      </w:pPr>
      <w:r>
        <w:rPr>
          <w:color w:val="374151"/>
          <w:sz w:val="21"/>
          <w:szCs w:val="21"/>
        </w:rPr>
        <w:t xml:space="preserve">@nuxt/ui is the official Nuxt team's component library — first-class Nuxt 4 integration, zero configuration conflicts.</w:t>
      </w:r>
    </w:p>
    <w:p>
      <w:pPr>
        <w:pStyle w:val="ListParagraph"/>
        <w:numPr>
          <w:ilvl w:val="0"/>
          <w:numId w:val="2"/>
        </w:numPr>
        <w:spacing w:after="60"/>
      </w:pPr>
      <w:r>
        <w:rPr>
          <w:color w:val="374151"/>
          <w:sz w:val="21"/>
          <w:szCs w:val="21"/>
        </w:rPr>
        <w:t xml:space="preserve">Tailwind-based components are easier to customize to Klinikku's teal design system without fighting Material Design opinionation.</w:t>
      </w:r>
    </w:p>
    <w:p>
      <w:pPr>
        <w:pStyle w:val="ListParagraph"/>
        <w:numPr>
          <w:ilvl w:val="0"/>
          <w:numId w:val="2"/>
        </w:numPr>
        <w:spacing w:after="60"/>
      </w:pPr>
      <w:r>
        <w:rPr>
          <w:color w:val="374151"/>
          <w:sz w:val="21"/>
          <w:szCs w:val="21"/>
        </w:rPr>
        <w:t xml:space="preserve">@nuxt/ui components are lighter weight than Vuetify — faster initial load on Render free tier.</w:t>
      </w:r>
    </w:p>
    <w:p>
      <w:pPr>
        <w:pStyle w:val="ListParagraph"/>
        <w:numPr>
          <w:ilvl w:val="0"/>
          <w:numId w:val="2"/>
        </w:numPr>
        <w:spacing w:after="60"/>
      </w:pPr>
      <w:r>
        <w:rPr>
          <w:color w:val="374151"/>
          <w:sz w:val="21"/>
          <w:szCs w:val="21"/>
        </w:rPr>
        <w:t xml:space="preserve">Tailwind CSS skills are more transferable and more commonly tested in frontend interviews than Vuetify-specific knowledge.</w:t>
      </w:r>
    </w:p>
    <w:p>
      <w:pPr>
        <w:pStyle w:val="Heading3"/>
        <w:spacing w:after="80" w:before="200"/>
      </w:pPr>
      <w:r>
        <w:t xml:space="preserve">Rejected alternatives</w:t>
      </w:r>
    </w:p>
    <w:p>
      <w:pPr>
        <w:pStyle w:val="ListParagraph"/>
        <w:numPr>
          <w:ilvl w:val="0"/>
          <w:numId w:val="2"/>
        </w:numPr>
        <w:spacing w:after="60"/>
      </w:pPr>
      <w:r>
        <w:rPr>
          <w:color w:val="374151"/>
          <w:sz w:val="21"/>
          <w:szCs w:val="21"/>
        </w:rPr>
        <w:t xml:space="preserve">Vuetify: rejected because Material Design aesthetic conflicts with Klinikku's custom design system, and Nuxt 4 support was still in beta as of project start.</w:t>
      </w:r>
    </w:p>
    <w:p>
      <w:pPr>
        <w:pStyle w:val="ListParagraph"/>
        <w:numPr>
          <w:ilvl w:val="0"/>
          <w:numId w:val="2"/>
        </w:numPr>
        <w:spacing w:after="60"/>
      </w:pPr>
      <w:r>
        <w:rPr>
          <w:color w:val="374151"/>
          <w:sz w:val="21"/>
          <w:szCs w:val="21"/>
        </w:rPr>
        <w:t xml:space="preserve">PrimeVue: rejected because @nuxt/ui provides sufficient coverage and is more Tailwind-aligned.</w:t>
      </w:r>
    </w:p>
    <w:p>
      <w:pPr>
        <w:pStyle w:val="ListParagraph"/>
        <w:numPr>
          <w:ilvl w:val="0"/>
          <w:numId w:val="2"/>
        </w:numPr>
        <w:spacing w:after="60"/>
      </w:pPr>
      <w:r>
        <w:rPr>
          <w:color w:val="374151"/>
          <w:sz w:val="21"/>
          <w:szCs w:val="21"/>
        </w:rPr>
        <w:t xml:space="preserve">No component library (custom only): rejected because it dramatically increases development time without portfolio benefit.</w:t>
      </w:r>
    </w:p>
    <w:p>
      <w:pPr>
        <w:pStyle w:val="Heading3"/>
        <w:spacing w:after="80" w:before="200"/>
      </w:pPr>
      <w:r>
        <w:t xml:space="preserve">Consequences</w:t>
      </w:r>
    </w:p>
    <w:p>
      <w:pPr>
        <w:pStyle w:val="ListParagraph"/>
        <w:numPr>
          <w:ilvl w:val="0"/>
          <w:numId w:val="2"/>
        </w:numPr>
        <w:spacing w:after="60"/>
      </w:pPr>
      <w:r>
        <w:rPr>
          <w:color w:val="374151"/>
          <w:sz w:val="21"/>
          <w:szCs w:val="21"/>
        </w:rPr>
        <w:t xml:space="preserve">@nuxt/ui is evolving rapidly — some components changed API between minor versions during development.</w:t>
      </w:r>
    </w:p>
    <w:p>
      <w:pPr>
        <w:pStyle w:val="ListParagraph"/>
        <w:numPr>
          <w:ilvl w:val="0"/>
          <w:numId w:val="2"/>
        </w:numPr>
        <w:spacing w:after="60"/>
      </w:pPr>
      <w:r>
        <w:rPr>
          <w:color w:val="374151"/>
          <w:sz w:val="21"/>
          <w:szCs w:val="21"/>
        </w:rPr>
        <w:t xml:space="preserve">Complex components (date pickers, complex tables) may require custom implementation or supplementary libraries.</w:t>
      </w:r>
    </w:p>
    <w:p>
      <w:pPr>
        <w:pBdr>
          <w:bottom w:val="single" w:color="E5E7EB" w:sz="1"/>
        </w:pBdr>
        <w:spacing w:after="200" w:before="80"/>
      </w:pPr>
    </w:p>
    <w:p>
      <w:pPr>
        <w:pStyle w:val="Heading2"/>
        <w:spacing w:after="100" w:before="320"/>
      </w:pPr>
      <w:r>
        <w:t xml:space="preserve">ADR-006 — NativeWind v4 stable over v5 for mobile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0"/>
            </w:pPr>
            <w:r>
              <w:rPr>
                <w:b/>
                <w:bCs/>
                <w:color w:val="134E4A"/>
                <w:sz w:val="20"/>
                <w:szCs w:val="20"/>
              </w:rPr>
              <w:t xml:space="preserve">Status: </w:t>
            </w:r>
            <w:r>
              <w:rPr>
                <w:color w:val="374151"/>
                <w:sz w:val="20"/>
                <w:szCs w:val="20"/>
              </w:rPr>
              <w:t xml:space="preserve">Accepted</w:t>
            </w:r>
            <w:r>
              <w:rPr>
                <w:color w:val="6B7280"/>
                <w:sz w:val="20"/>
                <w:szCs w:val="20"/>
              </w:rPr>
              <w:t xml:space="preserve">   ·   Date: August 2026</w:t>
            </w:r>
          </w:p>
        </w:tc>
      </w:tr>
    </w:tbl>
    <w:p>
      <w:pPr>
        <w:spacing w:after="80"/>
      </w:pPr>
    </w:p>
    <w:p>
      <w:pPr>
        <w:pStyle w:val="Heading3"/>
        <w:spacing w:after="80" w:before="200"/>
      </w:pPr>
      <w:r>
        <w:t xml:space="preserve">Context</w:t>
      </w:r>
    </w:p>
    <w:p>
      <w:pPr>
        <w:spacing w:after="120"/>
      </w:pPr>
      <w:r>
        <w:rPr>
          <w:color w:val="374151"/>
          <w:sz w:val="22"/>
          <w:szCs w:val="22"/>
        </w:rPr>
        <w:t xml:space="preserve">Klinikku mobile app uses React Native with Expo SDK 57. NativeWind brings Tailwind CSS to React Native. Two versions are available: v4 (stable) and v5 (beta/unstable as of August 2026).</w:t>
      </w:r>
    </w:p>
    <w:p>
      <w:pPr>
        <w:pStyle w:val="Heading3"/>
        <w:spacing w:after="80" w:before="200"/>
      </w:pPr>
      <w:r>
        <w:t xml:space="preserve">Decision</w:t>
      </w:r>
    </w:p>
    <w:p>
      <w:pPr>
        <w:spacing w:after="120"/>
      </w:pPr>
      <w:r>
        <w:rPr>
          <w:color w:val="374151"/>
          <w:sz w:val="22"/>
          <w:szCs w:val="22"/>
        </w:rPr>
        <w:t xml:space="preserve">Use NativeWind v4 stable. Do not upgrade to v5 until it reaches stable release.</w:t>
      </w:r>
    </w:p>
    <w:p>
      <w:pPr>
        <w:pStyle w:val="Heading3"/>
        <w:spacing w:after="80" w:before="200"/>
      </w:pPr>
      <w:r>
        <w:t xml:space="preserve">Rationale</w:t>
      </w:r>
    </w:p>
    <w:p>
      <w:pPr>
        <w:pStyle w:val="ListParagraph"/>
        <w:numPr>
          <w:ilvl w:val="0"/>
          <w:numId w:val="2"/>
        </w:numPr>
        <w:spacing w:after="60"/>
      </w:pPr>
      <w:r>
        <w:rPr>
          <w:color w:val="374151"/>
          <w:sz w:val="21"/>
          <w:szCs w:val="21"/>
        </w:rPr>
        <w:t xml:space="preserve">NativeWind v5 was in active beta with breaking changes as of August 2026 — unstable APIs are a liability in a portfolio project that needs to remain functional for extended periods.</w:t>
      </w:r>
    </w:p>
    <w:p>
      <w:pPr>
        <w:pStyle w:val="ListParagraph"/>
        <w:numPr>
          <w:ilvl w:val="0"/>
          <w:numId w:val="2"/>
        </w:numPr>
        <w:spacing w:after="60"/>
      </w:pPr>
      <w:r>
        <w:rPr>
          <w:color w:val="374151"/>
          <w:sz w:val="21"/>
          <w:szCs w:val="21"/>
        </w:rPr>
        <w:t xml:space="preserve">NativeWind v4 has full Expo SDK 57 compatibility verified in community.</w:t>
      </w:r>
    </w:p>
    <w:p>
      <w:pPr>
        <w:pStyle w:val="ListParagraph"/>
        <w:numPr>
          <w:ilvl w:val="0"/>
          <w:numId w:val="2"/>
        </w:numPr>
        <w:spacing w:after="60"/>
      </w:pPr>
      <w:r>
        <w:rPr>
          <w:color w:val="374151"/>
          <w:sz w:val="21"/>
          <w:szCs w:val="21"/>
        </w:rPr>
        <w:t xml:space="preserve">Tailwind v3 (used by NativeWind v4) has a stable, well-documented API — all utility classes work predictably.</w:t>
      </w:r>
    </w:p>
    <w:p>
      <w:pPr>
        <w:pStyle w:val="ListParagraph"/>
        <w:numPr>
          <w:ilvl w:val="0"/>
          <w:numId w:val="2"/>
        </w:numPr>
        <w:spacing w:after="60"/>
      </w:pPr>
      <w:r>
        <w:rPr>
          <w:color w:val="374151"/>
          <w:sz w:val="21"/>
          <w:szCs w:val="21"/>
        </w:rPr>
        <w:t xml:space="preserve">v4 → v5 migration when v5 stabilizes is a documented path, not a rewrite.</w:t>
      </w:r>
    </w:p>
    <w:p>
      <w:pPr>
        <w:pStyle w:val="Heading3"/>
        <w:spacing w:after="80" w:before="200"/>
      </w:pPr>
      <w:r>
        <w:t xml:space="preserve">Rejected alternatives</w:t>
      </w:r>
    </w:p>
    <w:p>
      <w:pPr>
        <w:pStyle w:val="ListParagraph"/>
        <w:numPr>
          <w:ilvl w:val="0"/>
          <w:numId w:val="2"/>
        </w:numPr>
        <w:spacing w:after="60"/>
      </w:pPr>
      <w:r>
        <w:rPr>
          <w:color w:val="374151"/>
          <w:sz w:val="21"/>
          <w:szCs w:val="21"/>
        </w:rPr>
        <w:t xml:space="preserve">NativeWind v5: rejected because beta status means unexpected breaking changes could block development.</w:t>
      </w:r>
    </w:p>
    <w:p>
      <w:pPr>
        <w:pStyle w:val="ListParagraph"/>
        <w:numPr>
          <w:ilvl w:val="0"/>
          <w:numId w:val="2"/>
        </w:numPr>
        <w:spacing w:after="60"/>
      </w:pPr>
      <w:r>
        <w:rPr>
          <w:color w:val="374151"/>
          <w:sz w:val="21"/>
          <w:szCs w:val="21"/>
        </w:rPr>
        <w:t xml:space="preserve">StyleSheet-only (no NativeWind): rejected because it eliminates design system consistency between web and mobile.</w:t>
      </w:r>
    </w:p>
    <w:p>
      <w:pPr>
        <w:pStyle w:val="Heading3"/>
        <w:spacing w:after="80" w:before="200"/>
      </w:pPr>
      <w:r>
        <w:t xml:space="preserve">Consequences</w:t>
      </w:r>
    </w:p>
    <w:p>
      <w:pPr>
        <w:pStyle w:val="ListParagraph"/>
        <w:numPr>
          <w:ilvl w:val="0"/>
          <w:numId w:val="2"/>
        </w:numPr>
        <w:spacing w:after="60"/>
      </w:pPr>
      <w:r>
        <w:rPr>
          <w:color w:val="374151"/>
          <w:sz w:val="21"/>
          <w:szCs w:val="21"/>
        </w:rPr>
        <w:t xml:space="preserve">NativeWind v4 does not support all Tailwind v3 utilities — some complex layouts require inline StyleSheet fallback.</w:t>
      </w:r>
    </w:p>
    <w:p>
      <w:pPr>
        <w:pStyle w:val="ListParagraph"/>
        <w:numPr>
          <w:ilvl w:val="0"/>
          <w:numId w:val="2"/>
        </w:numPr>
        <w:spacing w:after="60"/>
      </w:pPr>
      <w:r>
        <w:rPr>
          <w:color w:val="374151"/>
          <w:sz w:val="21"/>
          <w:szCs w:val="21"/>
        </w:rPr>
        <w:t xml:space="preserve">Dark mode in NativeWind v4 uses colorScheme prop rather than CSS media queries — requires explicit implementation.</w:t>
      </w:r>
    </w:p>
    <w:p>
      <w:pPr>
        <w:pStyle w:val="Heading3"/>
        <w:spacing w:after="80" w:before="200"/>
      </w:pPr>
      <w:r>
        <w:t xml:space="preserve">Roadmap</w:t>
      </w:r>
    </w:p>
    <w:p>
      <w:pPr>
        <w:spacing w:after="120"/>
      </w:pPr>
      <w:r>
        <w:rPr>
          <w:color w:val="374151"/>
          <w:sz w:val="22"/>
          <w:szCs w:val="22"/>
        </w:rPr>
        <w:t xml:space="preserve">Upgrade to NativeWind v5 in v2 after stable release.</w:t>
      </w:r>
    </w:p>
    <w:p>
      <w:pPr>
        <w:pBdr>
          <w:bottom w:val="single" w:color="E5E7EB" w:sz="1"/>
        </w:pBdr>
        <w:spacing w:after="200" w:before="80"/>
      </w:pPr>
    </w:p>
    <w:p>
      <w:pPr>
        <w:pStyle w:val="Heading2"/>
        <w:spacing w:after="100" w:before="320"/>
      </w:pPr>
      <w:r>
        <w:t xml:space="preserve">ADR-007 — Expo Router over @react-navigation for mobile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0"/>
            </w:pPr>
            <w:r>
              <w:rPr>
                <w:b/>
                <w:bCs/>
                <w:color w:val="134E4A"/>
                <w:sz w:val="20"/>
                <w:szCs w:val="20"/>
              </w:rPr>
              <w:t xml:space="preserve">Status: </w:t>
            </w:r>
            <w:r>
              <w:rPr>
                <w:color w:val="374151"/>
                <w:sz w:val="20"/>
                <w:szCs w:val="20"/>
              </w:rPr>
              <w:t xml:space="preserve">Accepted</w:t>
            </w:r>
            <w:r>
              <w:rPr>
                <w:color w:val="6B7280"/>
                <w:sz w:val="20"/>
                <w:szCs w:val="20"/>
              </w:rPr>
              <w:t xml:space="preserve">   ·   Date: August 2026</w:t>
            </w:r>
          </w:p>
        </w:tc>
      </w:tr>
    </w:tbl>
    <w:p>
      <w:pPr>
        <w:spacing w:after="80"/>
      </w:pPr>
    </w:p>
    <w:p>
      <w:pPr>
        <w:pStyle w:val="Heading3"/>
        <w:spacing w:after="80" w:before="200"/>
      </w:pPr>
      <w:r>
        <w:t xml:space="preserve">Context</w:t>
      </w:r>
    </w:p>
    <w:p>
      <w:pPr>
        <w:spacing w:after="120"/>
      </w:pPr>
      <w:r>
        <w:rPr>
          <w:color w:val="374151"/>
          <w:sz w:val="22"/>
          <w:szCs w:val="22"/>
        </w:rPr>
        <w:t xml:space="preserve">Expo SDK 57 supports two navigation approaches: Expo Router (file-based routing, the new standard) and @react-navigation (imperative, long-established).</w:t>
      </w:r>
    </w:p>
    <w:p>
      <w:pPr>
        <w:pStyle w:val="Heading3"/>
        <w:spacing w:after="80" w:before="200"/>
      </w:pPr>
      <w:r>
        <w:t xml:space="preserve">Decision</w:t>
      </w:r>
    </w:p>
    <w:p>
      <w:pPr>
        <w:spacing w:after="120"/>
      </w:pPr>
      <w:r>
        <w:rPr>
          <w:color w:val="374151"/>
          <w:sz w:val="22"/>
          <w:szCs w:val="22"/>
        </w:rPr>
        <w:t xml:space="preserve">Use Expo Router exclusively. No direct @react-navigation imports. All navigation is file-based via the /app directory.</w:t>
      </w:r>
    </w:p>
    <w:p>
      <w:pPr>
        <w:pStyle w:val="Heading3"/>
        <w:spacing w:after="80" w:before="200"/>
      </w:pPr>
      <w:r>
        <w:t xml:space="preserve">Rationale</w:t>
      </w:r>
    </w:p>
    <w:p>
      <w:pPr>
        <w:pStyle w:val="ListParagraph"/>
        <w:numPr>
          <w:ilvl w:val="0"/>
          <w:numId w:val="2"/>
        </w:numPr>
        <w:spacing w:after="60"/>
      </w:pPr>
      <w:r>
        <w:rPr>
          <w:color w:val="374151"/>
          <w:sz w:val="21"/>
          <w:szCs w:val="21"/>
        </w:rPr>
        <w:t xml:space="preserve">Expo Router is the official navigation standard for Expo SDK 52+ — it is the direction Expo is investing in.</w:t>
      </w:r>
    </w:p>
    <w:p>
      <w:pPr>
        <w:pStyle w:val="ListParagraph"/>
        <w:numPr>
          <w:ilvl w:val="0"/>
          <w:numId w:val="2"/>
        </w:numPr>
        <w:spacing w:after="60"/>
      </w:pPr>
      <w:r>
        <w:rPr>
          <w:color w:val="374151"/>
          <w:sz w:val="21"/>
          <w:szCs w:val="21"/>
        </w:rPr>
        <w:t xml:space="preserve">File-based routing is more intuitive for developers familiar with Next.js — directly applicable to Klinikku's web stack.</w:t>
      </w:r>
    </w:p>
    <w:p>
      <w:pPr>
        <w:pStyle w:val="ListParagraph"/>
        <w:numPr>
          <w:ilvl w:val="0"/>
          <w:numId w:val="2"/>
        </w:numPr>
        <w:spacing w:after="60"/>
      </w:pPr>
      <w:r>
        <w:rPr>
          <w:color w:val="374151"/>
          <w:sz w:val="21"/>
          <w:szCs w:val="21"/>
        </w:rPr>
        <w:t xml:space="preserve">Expo Router handles deep linking, web support, and tab navigation with less configuration than react-navigation.</w:t>
      </w:r>
    </w:p>
    <w:p>
      <w:pPr>
        <w:pStyle w:val="ListParagraph"/>
        <w:numPr>
          <w:ilvl w:val="0"/>
          <w:numId w:val="2"/>
        </w:numPr>
        <w:spacing w:after="60"/>
      </w:pPr>
      <w:r>
        <w:rPr>
          <w:color w:val="374151"/>
          <w:sz w:val="21"/>
          <w:szCs w:val="21"/>
        </w:rPr>
        <w:t xml:space="preserve">Mixing Expo Router and react-navigation causes subtle bugs — a clean boundary is enforced from the start.</w:t>
      </w:r>
    </w:p>
    <w:p>
      <w:pPr>
        <w:pStyle w:val="Heading3"/>
        <w:spacing w:after="80" w:before="200"/>
      </w:pPr>
      <w:r>
        <w:t xml:space="preserve">Rejected alternatives</w:t>
      </w:r>
    </w:p>
    <w:p>
      <w:pPr>
        <w:pStyle w:val="ListParagraph"/>
        <w:numPr>
          <w:ilvl w:val="0"/>
          <w:numId w:val="2"/>
        </w:numPr>
        <w:spacing w:after="60"/>
      </w:pPr>
      <w:r>
        <w:rPr>
          <w:color w:val="374151"/>
          <w:sz w:val="21"/>
          <w:szCs w:val="21"/>
        </w:rPr>
        <w:t xml:space="preserve">@react-navigation direct: rejected because Expo Router supersedes it for SDK 52+ projects and mixing them causes navigation state conflicts.</w:t>
      </w:r>
    </w:p>
    <w:p>
      <w:pPr>
        <w:pStyle w:val="Heading3"/>
        <w:spacing w:after="80" w:before="200"/>
      </w:pPr>
      <w:r>
        <w:t xml:space="preserve">Consequences</w:t>
      </w:r>
    </w:p>
    <w:p>
      <w:pPr>
        <w:pStyle w:val="ListParagraph"/>
        <w:numPr>
          <w:ilvl w:val="0"/>
          <w:numId w:val="2"/>
        </w:numPr>
        <w:spacing w:after="60"/>
      </w:pPr>
      <w:r>
        <w:rPr>
          <w:color w:val="374151"/>
          <w:sz w:val="21"/>
          <w:szCs w:val="21"/>
        </w:rPr>
        <w:t xml:space="preserve">Expo Router v3 (SDK 57) has some API differences from v2 — upgrade guide followed during setup.</w:t>
      </w:r>
    </w:p>
    <w:p>
      <w:pPr>
        <w:pStyle w:val="ListParagraph"/>
        <w:numPr>
          <w:ilvl w:val="0"/>
          <w:numId w:val="2"/>
        </w:numPr>
        <w:spacing w:after="60"/>
      </w:pPr>
      <w:r>
        <w:rPr>
          <w:color w:val="374151"/>
          <w:sz w:val="21"/>
          <w:szCs w:val="21"/>
        </w:rPr>
        <w:t xml:space="preserve">Some advanced navigation patterns (custom transitions, complex nested navigators) require understanding Expo Router's layout system.</w:t>
      </w:r>
    </w:p>
    <w:p>
      <w:pPr>
        <w:pBdr>
          <w:bottom w:val="single" w:color="E5E7EB" w:sz="1"/>
        </w:pBdr>
        <w:spacing w:after="200" w:before="80"/>
      </w:pPr>
    </w:p>
    <w:p>
      <w:pPr>
        <w:pStyle w:val="Heading2"/>
        <w:spacing w:after="100" w:before="320"/>
      </w:pPr>
      <w:r>
        <w:t xml:space="preserve">ADR-008 — Single mobile app with role-based UX over two separate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0"/>
            </w:pPr>
            <w:r>
              <w:rPr>
                <w:b/>
                <w:bCs/>
                <w:color w:val="134E4A"/>
                <w:sz w:val="20"/>
                <w:szCs w:val="20"/>
              </w:rPr>
              <w:t xml:space="preserve">Status: </w:t>
            </w:r>
            <w:r>
              <w:rPr>
                <w:color w:val="374151"/>
                <w:sz w:val="20"/>
                <w:szCs w:val="20"/>
              </w:rPr>
              <w:t xml:space="preserve">Accepted</w:t>
            </w:r>
            <w:r>
              <w:rPr>
                <w:color w:val="6B7280"/>
                <w:sz w:val="20"/>
                <w:szCs w:val="20"/>
              </w:rPr>
              <w:t xml:space="preserve">   ·   Date: August 2026</w:t>
            </w:r>
          </w:p>
        </w:tc>
      </w:tr>
    </w:tbl>
    <w:p>
      <w:pPr>
        <w:spacing w:after="80"/>
      </w:pPr>
    </w:p>
    <w:p>
      <w:pPr>
        <w:pStyle w:val="Heading3"/>
        <w:spacing w:after="80" w:before="200"/>
      </w:pPr>
      <w:r>
        <w:t xml:space="preserve">Context</w:t>
      </w:r>
    </w:p>
    <w:p>
      <w:pPr>
        <w:spacing w:after="120"/>
      </w:pPr>
      <w:r>
        <w:rPr>
          <w:color w:val="374151"/>
          <w:sz w:val="22"/>
          <w:szCs w:val="22"/>
        </w:rPr>
        <w:t xml:space="preserve">Klinikku has two distinct user groups: clinical staff and patients. The question is whether to build one app (role-based experience) or two separate apps (one for staff, one for patients).</w:t>
      </w:r>
    </w:p>
    <w:p>
      <w:pPr>
        <w:pStyle w:val="Heading3"/>
        <w:spacing w:after="80" w:before="200"/>
      </w:pPr>
      <w:r>
        <w:t xml:space="preserve">Decision</w:t>
      </w:r>
    </w:p>
    <w:p>
      <w:pPr>
        <w:spacing w:after="120"/>
      </w:pPr>
      <w:r>
        <w:rPr>
          <w:color w:val="374151"/>
          <w:sz w:val="22"/>
          <w:szCs w:val="22"/>
        </w:rPr>
        <w:t xml:space="preserve">Build one React Native app. After login, the app detects user type (staff or patient) and renders the appropriate experience. Staff see queue management, RME, and clinical tools. Patients see health records, antrian, and appointments.</w:t>
      </w:r>
    </w:p>
    <w:p>
      <w:pPr>
        <w:pStyle w:val="Heading3"/>
        <w:spacing w:after="80" w:before="200"/>
      </w:pPr>
      <w:r>
        <w:t xml:space="preserve">Rationale</w:t>
      </w:r>
    </w:p>
    <w:p>
      <w:pPr>
        <w:pStyle w:val="ListParagraph"/>
        <w:numPr>
          <w:ilvl w:val="0"/>
          <w:numId w:val="2"/>
        </w:numPr>
        <w:spacing w:after="60"/>
      </w:pPr>
      <w:r>
        <w:rPr>
          <w:color w:val="374151"/>
          <w:sz w:val="21"/>
          <w:szCs w:val="21"/>
        </w:rPr>
        <w:t xml:space="preserve">One app means one codebase to maintain, one set of dependencies, one build pipeline, one Expo project.</w:t>
      </w:r>
    </w:p>
    <w:p>
      <w:pPr>
        <w:pStyle w:val="ListParagraph"/>
        <w:numPr>
          <w:ilvl w:val="0"/>
          <w:numId w:val="2"/>
        </w:numPr>
        <w:spacing w:after="60"/>
      </w:pPr>
      <w:r>
        <w:rPr>
          <w:color w:val="374151"/>
          <w:sz w:val="21"/>
          <w:szCs w:val="21"/>
        </w:rPr>
        <w:t xml:space="preserve">Shared code between staff and patient flows (authentication, push notification setup, API client, UI components) is significant — splitting wastes this.</w:t>
      </w:r>
    </w:p>
    <w:p>
      <w:pPr>
        <w:pStyle w:val="ListParagraph"/>
        <w:numPr>
          <w:ilvl w:val="0"/>
          <w:numId w:val="2"/>
        </w:numPr>
        <w:spacing w:after="60"/>
      </w:pPr>
      <w:r>
        <w:rPr>
          <w:color w:val="374151"/>
          <w:sz w:val="21"/>
          <w:szCs w:val="21"/>
        </w:rPr>
        <w:t xml:space="preserve">For portfolio purposes, one app is more impressive: demonstrates role-based architecture, not just two simple apps.</w:t>
      </w:r>
    </w:p>
    <w:p>
      <w:pPr>
        <w:pStyle w:val="ListParagraph"/>
        <w:numPr>
          <w:ilvl w:val="0"/>
          <w:numId w:val="2"/>
        </w:numPr>
        <w:spacing w:after="60"/>
      </w:pPr>
      <w:r>
        <w:rPr>
          <w:color w:val="374151"/>
          <w:sz w:val="21"/>
          <w:szCs w:val="21"/>
        </w:rPr>
        <w:t xml:space="preserve">Clinic staff who are also patients (common in Indonesian private clinics) use one app — no app-switching needed.</w:t>
      </w:r>
    </w:p>
    <w:p>
      <w:pPr>
        <w:pStyle w:val="Heading3"/>
        <w:spacing w:after="80" w:before="200"/>
      </w:pPr>
      <w:r>
        <w:t xml:space="preserve">Rejected alternatives</w:t>
      </w:r>
    </w:p>
    <w:p>
      <w:pPr>
        <w:pStyle w:val="ListParagraph"/>
        <w:numPr>
          <w:ilvl w:val="0"/>
          <w:numId w:val="2"/>
        </w:numPr>
        <w:spacing w:after="60"/>
      </w:pPr>
      <w:r>
        <w:rPr>
          <w:color w:val="374151"/>
          <w:sz w:val="21"/>
          <w:szCs w:val="21"/>
        </w:rPr>
        <w:t xml:space="preserve">Two separate apps: rejected because it doubles maintenance burden, splits shared code, and is harder to demonstrate in a portfolio demo.</w:t>
      </w:r>
    </w:p>
    <w:p>
      <w:pPr>
        <w:pStyle w:val="Heading3"/>
        <w:spacing w:after="80" w:before="200"/>
      </w:pPr>
      <w:r>
        <w:t xml:space="preserve">Consequences</w:t>
      </w:r>
    </w:p>
    <w:p>
      <w:pPr>
        <w:pStyle w:val="ListParagraph"/>
        <w:numPr>
          <w:ilvl w:val="0"/>
          <w:numId w:val="2"/>
        </w:numPr>
        <w:spacing w:after="60"/>
      </w:pPr>
      <w:r>
        <w:rPr>
          <w:color w:val="374151"/>
          <w:sz w:val="21"/>
          <w:szCs w:val="21"/>
        </w:rPr>
        <w:t xml:space="preserve">Startup time must be fast regardless of role — lazy loading of role-specific screens is required.</w:t>
      </w:r>
    </w:p>
    <w:p>
      <w:pPr>
        <w:pStyle w:val="ListParagraph"/>
        <w:numPr>
          <w:ilvl w:val="0"/>
          <w:numId w:val="2"/>
        </w:numPr>
        <w:spacing w:after="60"/>
      </w:pPr>
      <w:r>
        <w:rPr>
          <w:color w:val="374151"/>
          <w:sz w:val="21"/>
          <w:szCs w:val="21"/>
        </w:rPr>
        <w:t xml:space="preserve">The role detection logic must be robust — a bug could show staff screens to patients or vice versa.</w:t>
      </w:r>
    </w:p>
    <w:p>
      <w:pPr>
        <w:pStyle w:val="ListParagraph"/>
        <w:numPr>
          <w:ilvl w:val="0"/>
          <w:numId w:val="2"/>
        </w:numPr>
        <w:spacing w:after="60"/>
      </w:pPr>
      <w:r>
        <w:rPr>
          <w:color w:val="374151"/>
          <w:sz w:val="21"/>
          <w:szCs w:val="21"/>
        </w:rPr>
        <w:t xml:space="preserve">One app = one Play Store listing — simplifies distribution for demo.</w:t>
      </w:r>
    </w:p>
    <w:p>
      <w:pPr>
        <w:pBdr>
          <w:bottom w:val="single" w:color="E5E7EB" w:sz="1"/>
        </w:pBdr>
        <w:spacing w:after="200" w:before="80"/>
      </w:pPr>
    </w:p>
    <w:p>
      <w:pPr>
        <w:pStyle w:val="Heading2"/>
        <w:spacing w:after="100" w:before="320"/>
      </w:pPr>
      <w:r>
        <w:t xml:space="preserve">ADR-009 — Fonnte over WhatsApp Business API official for v1 WA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0"/>
            </w:pPr>
            <w:r>
              <w:rPr>
                <w:b/>
                <w:bCs/>
                <w:color w:val="134E4A"/>
                <w:sz w:val="20"/>
                <w:szCs w:val="20"/>
              </w:rPr>
              <w:t xml:space="preserve">Status: </w:t>
            </w:r>
            <w:r>
              <w:rPr>
                <w:color w:val="374151"/>
                <w:sz w:val="20"/>
                <w:szCs w:val="20"/>
              </w:rPr>
              <w:t xml:space="preserve">Accepted</w:t>
            </w:r>
            <w:r>
              <w:rPr>
                <w:color w:val="6B7280"/>
                <w:sz w:val="20"/>
                <w:szCs w:val="20"/>
              </w:rPr>
              <w:t xml:space="preserve">   ·   Date: August 2026</w:t>
            </w:r>
          </w:p>
        </w:tc>
      </w:tr>
    </w:tbl>
    <w:p>
      <w:pPr>
        <w:spacing w:after="80"/>
      </w:pPr>
    </w:p>
    <w:p>
      <w:pPr>
        <w:pStyle w:val="Heading3"/>
        <w:spacing w:after="80" w:before="200"/>
      </w:pPr>
      <w:r>
        <w:t xml:space="preserve">Context</w:t>
      </w:r>
    </w:p>
    <w:p>
      <w:pPr>
        <w:spacing w:after="120"/>
      </w:pPr>
      <w:r>
        <w:rPr>
          <w:color w:val="374151"/>
          <w:sz w:val="22"/>
          <w:szCs w:val="22"/>
        </w:rPr>
        <w:t xml:space="preserve">Klinikku requires WhatsApp notifications for queue reminders, appointment confirmations, and referral delivery. Two options: Fonnte (third-party WA gateway) or WhatsApp Business API official (Meta-approved).</w:t>
      </w:r>
    </w:p>
    <w:p>
      <w:pPr>
        <w:pStyle w:val="Heading3"/>
        <w:spacing w:after="80" w:before="200"/>
      </w:pPr>
      <w:r>
        <w:t xml:space="preserve">Decision</w:t>
      </w:r>
    </w:p>
    <w:p>
      <w:pPr>
        <w:spacing w:after="120"/>
      </w:pPr>
      <w:r>
        <w:rPr>
          <w:color w:val="374151"/>
          <w:sz w:val="22"/>
          <w:szCs w:val="22"/>
        </w:rPr>
        <w:t xml:space="preserve">Use Fonnte as the WA provider for v1 demo. Abstract the notification service so Fonnte can be swapped for the official API with a configuration change.</w:t>
      </w:r>
    </w:p>
    <w:p>
      <w:pPr>
        <w:pStyle w:val="Heading3"/>
        <w:spacing w:after="80" w:before="200"/>
      </w:pPr>
      <w:r>
        <w:t xml:space="preserve">Rationale</w:t>
      </w:r>
    </w:p>
    <w:p>
      <w:pPr>
        <w:pStyle w:val="ListParagraph"/>
        <w:numPr>
          <w:ilvl w:val="0"/>
          <w:numId w:val="2"/>
        </w:numPr>
        <w:spacing w:after="60"/>
      </w:pPr>
      <w:r>
        <w:rPr>
          <w:color w:val="374151"/>
          <w:sz w:val="21"/>
          <w:szCs w:val="21"/>
        </w:rPr>
        <w:t xml:space="preserve">Meta's WhatsApp Business API approval process requires 2–4 weeks and business verification — not feasible for a portfolio demo environment.</w:t>
      </w:r>
    </w:p>
    <w:p>
      <w:pPr>
        <w:pStyle w:val="ListParagraph"/>
        <w:numPr>
          <w:ilvl w:val="0"/>
          <w:numId w:val="2"/>
        </w:numPr>
        <w:spacing w:after="60"/>
      </w:pPr>
      <w:r>
        <w:rPr>
          <w:color w:val="374151"/>
          <w:sz w:val="21"/>
          <w:szCs w:val="21"/>
        </w:rPr>
        <w:t xml:space="preserve">Fonnte provides sufficient functionality for demo: send text messages and PDFs to any WhatsApp number.</w:t>
      </w:r>
    </w:p>
    <w:p>
      <w:pPr>
        <w:pStyle w:val="ListParagraph"/>
        <w:numPr>
          <w:ilvl w:val="0"/>
          <w:numId w:val="2"/>
        </w:numPr>
        <w:spacing w:after="60"/>
      </w:pPr>
      <w:r>
        <w:rPr>
          <w:color w:val="374151"/>
          <w:sz w:val="21"/>
          <w:szCs w:val="21"/>
        </w:rPr>
        <w:t xml:space="preserve">The NotificationService abstraction means the calling code never references Fonnte directly — a v2 provider swap requires only a new service class, not changes across the codebase.</w:t>
      </w:r>
    </w:p>
    <w:p>
      <w:pPr>
        <w:pStyle w:val="ListParagraph"/>
        <w:numPr>
          <w:ilvl w:val="0"/>
          <w:numId w:val="2"/>
        </w:numPr>
        <w:spacing w:after="60"/>
      </w:pPr>
      <w:r>
        <w:rPr>
          <w:color w:val="374151"/>
          <w:sz w:val="21"/>
          <w:szCs w:val="21"/>
        </w:rPr>
        <w:t xml:space="preserve">Fonnte's demo credentials can be included in the project README for recruiters to test.</w:t>
      </w:r>
    </w:p>
    <w:p>
      <w:pPr>
        <w:pStyle w:val="Heading3"/>
        <w:spacing w:after="80" w:before="200"/>
      </w:pPr>
      <w:r>
        <w:t xml:space="preserve">Rejected alternatives</w:t>
      </w:r>
    </w:p>
    <w:p>
      <w:pPr>
        <w:pStyle w:val="ListParagraph"/>
        <w:numPr>
          <w:ilvl w:val="0"/>
          <w:numId w:val="2"/>
        </w:numPr>
        <w:spacing w:after="60"/>
      </w:pPr>
      <w:r>
        <w:rPr>
          <w:color w:val="374151"/>
          <w:sz w:val="21"/>
          <w:szCs w:val="21"/>
        </w:rPr>
        <w:t xml:space="preserve">WhatsApp Business API official: deferred to v2 — not rejected on merit, only on timeline.</w:t>
      </w:r>
    </w:p>
    <w:p>
      <w:pPr>
        <w:pStyle w:val="ListParagraph"/>
        <w:numPr>
          <w:ilvl w:val="0"/>
          <w:numId w:val="2"/>
        </w:numPr>
        <w:spacing w:after="60"/>
      </w:pPr>
      <w:r>
        <w:rPr>
          <w:color w:val="374151"/>
          <w:sz w:val="21"/>
          <w:szCs w:val="21"/>
        </w:rPr>
        <w:t xml:space="preserve">Twilio WhatsApp: rejected because it requires a WhatsApp Business account and has per-message cost.</w:t>
      </w:r>
    </w:p>
    <w:p>
      <w:pPr>
        <w:pStyle w:val="Heading3"/>
        <w:spacing w:after="80" w:before="200"/>
      </w:pPr>
      <w:r>
        <w:t xml:space="preserve">Consequences</w:t>
      </w:r>
    </w:p>
    <w:p>
      <w:pPr>
        <w:pStyle w:val="ListParagraph"/>
        <w:numPr>
          <w:ilvl w:val="0"/>
          <w:numId w:val="2"/>
        </w:numPr>
        <w:spacing w:after="60"/>
      </w:pPr>
      <w:r>
        <w:rPr>
          <w:color w:val="374151"/>
          <w:sz w:val="21"/>
          <w:szCs w:val="21"/>
        </w:rPr>
        <w:t xml:space="preserve">Fonnte is a third-party service — reliability depends on their infrastructure. Acceptable for demo, not for production.</w:t>
      </w:r>
    </w:p>
    <w:p>
      <w:pPr>
        <w:pStyle w:val="ListParagraph"/>
        <w:numPr>
          <w:ilvl w:val="0"/>
          <w:numId w:val="2"/>
        </w:numPr>
        <w:spacing w:after="60"/>
      </w:pPr>
      <w:r>
        <w:rPr>
          <w:color w:val="374151"/>
          <w:sz w:val="21"/>
          <w:szCs w:val="21"/>
        </w:rPr>
        <w:t xml:space="preserve">Fonnte messages may be flagged as spam by WhatsApp if sent from a non-business account — acceptable for demo volume.</w:t>
      </w:r>
    </w:p>
    <w:p>
      <w:pPr>
        <w:pStyle w:val="Heading3"/>
        <w:spacing w:after="80" w:before="200"/>
      </w:pPr>
      <w:r>
        <w:t xml:space="preserve">Roadmap</w:t>
      </w:r>
    </w:p>
    <w:p>
      <w:pPr>
        <w:spacing w:after="120"/>
      </w:pPr>
      <w:r>
        <w:rPr>
          <w:color w:val="374151"/>
          <w:sz w:val="22"/>
          <w:szCs w:val="22"/>
        </w:rPr>
        <w:t xml:space="preserve">v2: Migrate to WhatsApp Business API official. Service abstraction makes this a new class + config change.</w:t>
      </w:r>
    </w:p>
    <w:p>
      <w:pPr>
        <w:pBdr>
          <w:bottom w:val="single" w:color="E5E7EB" w:sz="1"/>
        </w:pBdr>
        <w:spacing w:after="200" w:before="80"/>
      </w:pPr>
    </w:p>
    <w:p>
      <w:pPr>
        <w:pStyle w:val="Heading2"/>
        <w:spacing w:after="100" w:before="320"/>
      </w:pPr>
      <w:r>
        <w:t xml:space="preserve">ADR-010 — Expo local notifications over FCM for demo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0"/>
            </w:pPr>
            <w:r>
              <w:rPr>
                <w:b/>
                <w:bCs/>
                <w:color w:val="134E4A"/>
                <w:sz w:val="20"/>
                <w:szCs w:val="20"/>
              </w:rPr>
              <w:t xml:space="preserve">Status: </w:t>
            </w:r>
            <w:r>
              <w:rPr>
                <w:color w:val="374151"/>
                <w:sz w:val="20"/>
                <w:szCs w:val="20"/>
              </w:rPr>
              <w:t xml:space="preserve">Accepted</w:t>
            </w:r>
            <w:r>
              <w:rPr>
                <w:color w:val="6B7280"/>
                <w:sz w:val="20"/>
                <w:szCs w:val="20"/>
              </w:rPr>
              <w:t xml:space="preserve">   ·   Date: August 2026</w:t>
            </w:r>
          </w:p>
        </w:tc>
      </w:tr>
    </w:tbl>
    <w:p>
      <w:pPr>
        <w:spacing w:after="80"/>
      </w:pPr>
    </w:p>
    <w:p>
      <w:pPr>
        <w:pStyle w:val="Heading3"/>
        <w:spacing w:after="80" w:before="200"/>
      </w:pPr>
      <w:r>
        <w:t xml:space="preserve">Context</w:t>
      </w:r>
    </w:p>
    <w:p>
      <w:pPr>
        <w:spacing w:after="120"/>
      </w:pPr>
      <w:r>
        <w:rPr>
          <w:color w:val="374151"/>
          <w:sz w:val="22"/>
          <w:szCs w:val="22"/>
        </w:rPr>
        <w:t xml:space="preserve">Klinikku mobile app sends push notifications for queue reminders (position 3, position 1), appointment reminders, and lab results. Production requires Firebase Cloud Messaging (FCM). The question is what to use for the portfolio demo.</w:t>
      </w:r>
    </w:p>
    <w:p>
      <w:pPr>
        <w:pStyle w:val="Heading3"/>
        <w:spacing w:after="80" w:before="200"/>
      </w:pPr>
      <w:r>
        <w:t xml:space="preserve">Decision</w:t>
      </w:r>
    </w:p>
    <w:p>
      <w:pPr>
        <w:spacing w:after="120"/>
      </w:pPr>
      <w:r>
        <w:rPr>
          <w:color w:val="374151"/>
          <w:sz w:val="22"/>
          <w:szCs w:val="22"/>
        </w:rPr>
        <w:t xml:space="preserve">Use Expo local notifications for the demo. Architecture is FCM-ready: the PushNotificationService abstraction accepts a provider, and the mobile app is configured with the FCM plugin. README documents the production migration path.</w:t>
      </w:r>
    </w:p>
    <w:p>
      <w:pPr>
        <w:pStyle w:val="Heading3"/>
        <w:spacing w:after="80" w:before="200"/>
      </w:pPr>
      <w:r>
        <w:t xml:space="preserve">Rationale</w:t>
      </w:r>
    </w:p>
    <w:p>
      <w:pPr>
        <w:pStyle w:val="ListParagraph"/>
        <w:numPr>
          <w:ilvl w:val="0"/>
          <w:numId w:val="2"/>
        </w:numPr>
        <w:spacing w:after="60"/>
      </w:pPr>
      <w:r>
        <w:rPr>
          <w:color w:val="374151"/>
          <w:sz w:val="21"/>
          <w:szCs w:val="21"/>
        </w:rPr>
        <w:t xml:space="preserve">FCM requires a live Play Store listing for end-to-end testing — not feasible for a portfolio demo where the APK is sideloaded.</w:t>
      </w:r>
    </w:p>
    <w:p>
      <w:pPr>
        <w:pStyle w:val="ListParagraph"/>
        <w:numPr>
          <w:ilvl w:val="0"/>
          <w:numId w:val="2"/>
        </w:numPr>
        <w:spacing w:after="60"/>
      </w:pPr>
      <w:r>
        <w:rPr>
          <w:color w:val="374151"/>
          <w:sz w:val="21"/>
          <w:szCs w:val="21"/>
        </w:rPr>
        <w:t xml:space="preserve">Expo local notifications demonstrate the full push notification UX — the user sees the notification, can tap it, and is navigated to the correct screen. The experience is identical from a user perspective.</w:t>
      </w:r>
    </w:p>
    <w:p>
      <w:pPr>
        <w:pStyle w:val="ListParagraph"/>
        <w:numPr>
          <w:ilvl w:val="0"/>
          <w:numId w:val="2"/>
        </w:numPr>
        <w:spacing w:after="60"/>
      </w:pPr>
      <w:r>
        <w:rPr>
          <w:color w:val="374151"/>
          <w:sz w:val="21"/>
          <w:szCs w:val="21"/>
        </w:rPr>
        <w:t xml:space="preserve">The abstraction means the demo faithfully represents the production notification architecture — only the delivery mechanism differs.</w:t>
      </w:r>
    </w:p>
    <w:p>
      <w:pPr>
        <w:pStyle w:val="Heading3"/>
        <w:spacing w:after="80" w:before="200"/>
      </w:pPr>
      <w:r>
        <w:t xml:space="preserve">Rejected alternatives</w:t>
      </w:r>
    </w:p>
    <w:p>
      <w:pPr>
        <w:pStyle w:val="ListParagraph"/>
        <w:numPr>
          <w:ilvl w:val="0"/>
          <w:numId w:val="2"/>
        </w:numPr>
        <w:spacing w:after="60"/>
      </w:pPr>
      <w:r>
        <w:rPr>
          <w:color w:val="374151"/>
          <w:sz w:val="21"/>
          <w:szCs w:val="21"/>
        </w:rPr>
        <w:t xml:space="preserve">FCM in demo: rejected because it requires Play Store submission and Google account verification that adds weeks of overhead.</w:t>
      </w:r>
    </w:p>
    <w:p>
      <w:pPr>
        <w:pStyle w:val="ListParagraph"/>
        <w:numPr>
          <w:ilvl w:val="0"/>
          <w:numId w:val="2"/>
        </w:numPr>
        <w:spacing w:after="60"/>
      </w:pPr>
      <w:r>
        <w:rPr>
          <w:color w:val="374151"/>
          <w:sz w:val="21"/>
          <w:szCs w:val="21"/>
        </w:rPr>
        <w:t xml:space="preserve">No push notifications: rejected because push notifications are a key differentiator for the registered patient experience.</w:t>
      </w:r>
    </w:p>
    <w:p>
      <w:pPr>
        <w:pStyle w:val="Heading3"/>
        <w:spacing w:after="80" w:before="200"/>
      </w:pPr>
      <w:r>
        <w:t xml:space="preserve">Consequences</w:t>
      </w:r>
    </w:p>
    <w:p>
      <w:pPr>
        <w:pStyle w:val="ListParagraph"/>
        <w:numPr>
          <w:ilvl w:val="0"/>
          <w:numId w:val="2"/>
        </w:numPr>
        <w:spacing w:after="60"/>
      </w:pPr>
      <w:r>
        <w:rPr>
          <w:color w:val="374151"/>
          <w:sz w:val="21"/>
          <w:szCs w:val="21"/>
        </w:rPr>
        <w:t xml:space="preserve">README must clearly state: "Demo uses Expo local notifications. Production uses Firebase Cloud Messaging."</w:t>
      </w:r>
    </w:p>
    <w:p>
      <w:pPr>
        <w:pStyle w:val="ListParagraph"/>
        <w:numPr>
          <w:ilvl w:val="0"/>
          <w:numId w:val="2"/>
        </w:numPr>
        <w:spacing w:after="60"/>
      </w:pPr>
      <w:r>
        <w:rPr>
          <w:color w:val="374151"/>
          <w:sz w:val="21"/>
          <w:szCs w:val="21"/>
        </w:rPr>
        <w:t xml:space="preserve">FCM plugin is installed and configured — migration only requires a provider class swap and FCM server key.</w:t>
      </w:r>
    </w:p>
    <w:p>
      <w:pPr>
        <w:pStyle w:val="Heading3"/>
        <w:spacing w:after="80" w:before="200"/>
      </w:pPr>
      <w:r>
        <w:t xml:space="preserve">Roadmap</w:t>
      </w:r>
    </w:p>
    <w:p>
      <w:pPr>
        <w:spacing w:after="120"/>
      </w:pPr>
      <w:r>
        <w:rPr>
          <w:color w:val="374151"/>
          <w:sz w:val="22"/>
          <w:szCs w:val="22"/>
        </w:rPr>
        <w:t xml:space="preserve">v2: Full FCM integration with production Play Store listing.</w:t>
      </w:r>
    </w:p>
    <w:p>
      <w:pPr>
        <w:pBdr>
          <w:bottom w:val="single" w:color="E5E7EB" w:sz="1"/>
        </w:pBdr>
        <w:spacing w:after="200" w:before="80"/>
      </w:pPr>
    </w:p>
    <w:p>
      <w:pPr>
        <w:pStyle w:val="Heading2"/>
        <w:spacing w:after="100" w:before="320"/>
      </w:pPr>
      <w:r>
        <w:t xml:space="preserve">ADR-011 — Built-in billing over external POS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A" w:val="clear"/>
            <w:tcMar>
              <w:top w:type="dxa" w:w="120"/>
              <w:left w:type="dxa" w:w="200"/>
              <w:bottom w:type="dxa" w:w="120"/>
              <w:right w:type="dxa" w:w="200"/>
            </w:tcMar>
          </w:tcPr>
          <w:p>
            <w:pPr>
              <w:spacing w:after="0"/>
            </w:pPr>
            <w:r>
              <w:rPr>
                <w:b/>
                <w:bCs/>
                <w:color w:val="134E4A"/>
                <w:sz w:val="20"/>
                <w:szCs w:val="20"/>
              </w:rPr>
              <w:t xml:space="preserve">Status: </w:t>
            </w:r>
            <w:r>
              <w:rPr>
                <w:color w:val="374151"/>
                <w:sz w:val="20"/>
                <w:szCs w:val="20"/>
              </w:rPr>
              <w:t xml:space="preserve">Accepted</w:t>
            </w:r>
            <w:r>
              <w:rPr>
                <w:color w:val="6B7280"/>
                <w:sz w:val="20"/>
                <w:szCs w:val="20"/>
              </w:rPr>
              <w:t xml:space="preserve">   ·   Date: August 2026</w:t>
            </w:r>
          </w:p>
        </w:tc>
      </w:tr>
    </w:tbl>
    <w:p>
      <w:pPr>
        <w:spacing w:after="80"/>
      </w:pPr>
    </w:p>
    <w:p>
      <w:pPr>
        <w:pStyle w:val="Heading3"/>
        <w:spacing w:after="80" w:before="200"/>
      </w:pPr>
      <w:r>
        <w:t xml:space="preserve">Context</w:t>
      </w:r>
    </w:p>
    <w:p>
      <w:pPr>
        <w:spacing w:after="120"/>
      </w:pPr>
      <w:r>
        <w:rPr>
          <w:color w:val="374151"/>
          <w:sz w:val="22"/>
          <w:szCs w:val="22"/>
        </w:rPr>
        <w:t xml:space="preserve">Klinikku needs to handle patient payment at the end of a visit. Options: integrate with an existing POS solution (Moka, iReap, Kasir Pintar) or build billing functionality directly into Klinikku.</w:t>
      </w:r>
    </w:p>
    <w:p>
      <w:pPr>
        <w:pStyle w:val="Heading3"/>
        <w:spacing w:after="80" w:before="200"/>
      </w:pPr>
      <w:r>
        <w:t xml:space="preserve">Decision</w:t>
      </w:r>
    </w:p>
    <w:p>
      <w:pPr>
        <w:spacing w:after="120"/>
      </w:pPr>
      <w:r>
        <w:rPr>
          <w:color w:val="374151"/>
          <w:sz w:val="22"/>
          <w:szCs w:val="22"/>
        </w:rPr>
        <w:t xml:space="preserve">Build billing natively into Klinikku. Kasir sees a billing screen within the same application — no separate POS app, no QR code to scan, no data re-entry.</w:t>
      </w:r>
    </w:p>
    <w:p>
      <w:pPr>
        <w:pStyle w:val="Heading3"/>
        <w:spacing w:after="80" w:before="200"/>
      </w:pPr>
      <w:r>
        <w:t xml:space="preserve">Rationale</w:t>
      </w:r>
    </w:p>
    <w:p>
      <w:pPr>
        <w:pStyle w:val="ListParagraph"/>
        <w:numPr>
          <w:ilvl w:val="0"/>
          <w:numId w:val="2"/>
        </w:numPr>
        <w:spacing w:after="60"/>
      </w:pPr>
      <w:r>
        <w:rPr>
          <w:color w:val="374151"/>
          <w:sz w:val="21"/>
          <w:szCs w:val="21"/>
        </w:rPr>
        <w:t xml:space="preserve">Indonesian private clinics want one system, not two. Staff switching between apps for billing creates workflow friction and errors.</w:t>
      </w:r>
    </w:p>
    <w:p>
      <w:pPr>
        <w:pStyle w:val="ListParagraph"/>
        <w:numPr>
          <w:ilvl w:val="0"/>
          <w:numId w:val="2"/>
        </w:numPr>
        <w:spacing w:after="60"/>
      </w:pPr>
      <w:r>
        <w:rPr>
          <w:color w:val="374151"/>
          <w:sz w:val="21"/>
          <w:szCs w:val="21"/>
        </w:rPr>
        <w:t xml:space="preserve">Built-in billing means all data (consultation, drugs, tindakan) flows directly into the invoice — no manual line item entry by kasir.</w:t>
      </w:r>
    </w:p>
    <w:p>
      <w:pPr>
        <w:pStyle w:val="ListParagraph"/>
        <w:numPr>
          <w:ilvl w:val="0"/>
          <w:numId w:val="2"/>
        </w:numPr>
        <w:spacing w:after="60"/>
      </w:pPr>
      <w:r>
        <w:rPr>
          <w:color w:val="374151"/>
          <w:sz w:val="21"/>
          <w:szCs w:val="21"/>
        </w:rPr>
        <w:t xml:space="preserve">POS integrations require webhook setup, API keys, and ongoing maintenance of a third-party dependency.</w:t>
      </w:r>
    </w:p>
    <w:p>
      <w:pPr>
        <w:pStyle w:val="ListParagraph"/>
        <w:numPr>
          <w:ilvl w:val="0"/>
          <w:numId w:val="2"/>
        </w:numPr>
        <w:spacing w:after="60"/>
      </w:pPr>
      <w:r>
        <w:rPr>
          <w:color w:val="374151"/>
          <w:sz w:val="21"/>
          <w:szCs w:val="21"/>
        </w:rPr>
        <w:t xml:space="preserve">Built-in billing is a meaningful portfolio differentiator — it demonstrates end-to-end product thinking, not just a feature checklist.</w:t>
      </w:r>
    </w:p>
    <w:p>
      <w:pPr>
        <w:pStyle w:val="ListParagraph"/>
        <w:numPr>
          <w:ilvl w:val="0"/>
          <w:numId w:val="2"/>
        </w:numPr>
        <w:spacing w:after="60"/>
      </w:pPr>
      <w:r>
        <w:rPr>
          <w:color w:val="374151"/>
          <w:sz w:val="21"/>
          <w:szCs w:val="21"/>
        </w:rPr>
        <w:t xml:space="preserve">v1 billing is manual payment recording — no payment gateway risk or PCI DSS concerns.</w:t>
      </w:r>
    </w:p>
    <w:p>
      <w:pPr>
        <w:pStyle w:val="Heading3"/>
        <w:spacing w:after="80" w:before="200"/>
      </w:pPr>
      <w:r>
        <w:t xml:space="preserve">Rejected alternatives</w:t>
      </w:r>
    </w:p>
    <w:p>
      <w:pPr>
        <w:pStyle w:val="ListParagraph"/>
        <w:numPr>
          <w:ilvl w:val="0"/>
          <w:numId w:val="2"/>
        </w:numPr>
        <w:spacing w:after="60"/>
      </w:pPr>
      <w:r>
        <w:rPr>
          <w:color w:val="374151"/>
          <w:sz w:val="21"/>
          <w:szCs w:val="21"/>
        </w:rPr>
        <w:t xml:space="preserve">Moka POS integration: rejected because it requires a separate Moka account, API access, and webhook setup that adds demo complexity.</w:t>
      </w:r>
    </w:p>
    <w:p>
      <w:pPr>
        <w:pStyle w:val="ListParagraph"/>
        <w:numPr>
          <w:ilvl w:val="0"/>
          <w:numId w:val="2"/>
        </w:numPr>
        <w:spacing w:after="60"/>
      </w:pPr>
      <w:r>
        <w:rPr>
          <w:color w:val="374151"/>
          <w:sz w:val="21"/>
          <w:szCs w:val="21"/>
        </w:rPr>
        <w:t xml:space="preserve">iReap integration: rejected for the same reasons.</w:t>
      </w:r>
    </w:p>
    <w:p>
      <w:pPr>
        <w:pStyle w:val="ListParagraph"/>
        <w:numPr>
          <w:ilvl w:val="0"/>
          <w:numId w:val="2"/>
        </w:numPr>
        <w:spacing w:after="60"/>
      </w:pPr>
      <w:r>
        <w:rPr>
          <w:color w:val="374151"/>
          <w:sz w:val="21"/>
          <w:szCs w:val="21"/>
        </w:rPr>
        <w:t xml:space="preserve">No billing (out of scope): rejected because billing is a core clinic operation — excluding it makes the product incomplete.</w:t>
      </w:r>
    </w:p>
    <w:p>
      <w:pPr>
        <w:pStyle w:val="Heading3"/>
        <w:spacing w:after="80" w:before="200"/>
      </w:pPr>
      <w:r>
        <w:t xml:space="preserve">Consequences</w:t>
      </w:r>
    </w:p>
    <w:p>
      <w:pPr>
        <w:pStyle w:val="ListParagraph"/>
        <w:numPr>
          <w:ilvl w:val="0"/>
          <w:numId w:val="2"/>
        </w:numPr>
        <w:spacing w:after="60"/>
      </w:pPr>
      <w:r>
        <w:rPr>
          <w:color w:val="374151"/>
          <w:sz w:val="21"/>
          <w:szCs w:val="21"/>
        </w:rPr>
        <w:t xml:space="preserve">v1 billing is manual recording only — no payment gateway. This is explicitly documented in the PRD.</w:t>
      </w:r>
    </w:p>
    <w:p>
      <w:pPr>
        <w:pStyle w:val="ListParagraph"/>
        <w:numPr>
          <w:ilvl w:val="0"/>
          <w:numId w:val="2"/>
        </w:numPr>
        <w:spacing w:after="60"/>
      </w:pPr>
      <w:r>
        <w:rPr>
          <w:color w:val="374151"/>
          <w:sz w:val="21"/>
          <w:szCs w:val="21"/>
        </w:rPr>
        <w:t xml:space="preserve">Kasir must be trained on the Klinikku billing flow rather than their existing POS.</w:t>
      </w:r>
    </w:p>
    <w:p>
      <w:pPr>
        <w:pStyle w:val="Heading3"/>
        <w:spacing w:after="80" w:before="200"/>
      </w:pPr>
      <w:r>
        <w:t xml:space="preserve">Roadmap</w:t>
      </w:r>
    </w:p>
    <w:p>
      <w:pPr>
        <w:spacing w:after="120"/>
      </w:pPr>
      <w:r>
        <w:rPr>
          <w:color w:val="374151"/>
          <w:sz w:val="22"/>
          <w:szCs w:val="22"/>
        </w:rPr>
        <w:t xml:space="preserve">v2: Midtrans as primary payment gateway, Xendit as secondary. Billing module is designed to accept gateway as an additive layer.</w:t>
      </w:r>
    </w:p>
    <w:p>
      <w:pPr>
        <w:pBdr>
          <w:bottom w:val="single" w:color="E5E7EB" w:sz="1"/>
        </w:pBdr>
        <w:spacing w:after="200" w:before="80"/>
      </w:pPr>
    </w:p>
    <w:p>
      <w:r>
        <w:br w:type="page"/>
      </w:r>
    </w:p>
    <w:p>
      <w:pPr>
        <w:pStyle w:val="Heading1"/>
        <w:pBdr>
          <w:bottom w:val="single" w:color="0D9488" w:sz="4"/>
        </w:pBdr>
        <w:spacing w:after="160" w:before="480"/>
      </w:pPr>
      <w:r>
        <w:t xml:space="preserve">3. Module Design</w:t>
      </w:r>
    </w:p>
    <w:p>
      <w:pPr>
        <w:spacing w:after="120"/>
      </w:pPr>
      <w:r>
        <w:rPr>
          <w:color w:val="374151"/>
          <w:sz w:val="22"/>
          <w:szCs w:val="22"/>
        </w:rPr>
        <w:t xml:space="preserve">Each backend module follows the same layered structure: Controller → Service → Repository → Model. Controllers handle HTTP concerns only. Business logic lives in Services. Data access lives in Repositories. Models are thin.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0D9488" w:val="clear"/>
            <w:tcMar>
              <w:top w:type="dxa" w:w="80"/>
              <w:left w:type="dxa" w:w="120"/>
              <w:bottom w:type="dxa" w:w="80"/>
              <w:right w:type="dxa" w:w="120"/>
            </w:tcMar>
          </w:tcPr>
          <w:p>
            <w:r>
              <w:rPr>
                <w:b/>
                <w:bCs/>
                <w:color w:val="FFFFFF"/>
                <w:sz w:val="20"/>
                <w:szCs w:val="20"/>
              </w:rPr>
              <w:t xml:space="preserve">Module</w:t>
            </w:r>
          </w:p>
        </w:tc>
        <w:tc>
          <w:tcPr>
            <w:tcW w:type="dxa" w:w="2000"/>
            <w:shd w:fill="0D9488" w:val="clear"/>
            <w:tcMar>
              <w:top w:type="dxa" w:w="80"/>
              <w:left w:type="dxa" w:w="120"/>
              <w:bottom w:type="dxa" w:w="80"/>
              <w:right w:type="dxa" w:w="120"/>
            </w:tcMar>
          </w:tcPr>
          <w:p>
            <w:r>
              <w:rPr>
                <w:b/>
                <w:bCs/>
                <w:color w:val="FFFFFF"/>
                <w:sz w:val="20"/>
                <w:szCs w:val="20"/>
              </w:rPr>
              <w:t xml:space="preserve">Key Service</w:t>
            </w:r>
          </w:p>
        </w:tc>
        <w:tc>
          <w:tcPr>
            <w:tcW w:type="dxa" w:w="2760"/>
            <w:shd w:fill="0D9488" w:val="clear"/>
            <w:tcMar>
              <w:top w:type="dxa" w:w="80"/>
              <w:left w:type="dxa" w:w="120"/>
              <w:bottom w:type="dxa" w:w="80"/>
              <w:right w:type="dxa" w:w="120"/>
            </w:tcMar>
          </w:tcPr>
          <w:p>
            <w:r>
              <w:rPr>
                <w:b/>
                <w:bCs/>
                <w:color w:val="FFFFFF"/>
                <w:sz w:val="20"/>
                <w:szCs w:val="20"/>
              </w:rPr>
              <w:t xml:space="preserve">Key Algorithm</w:t>
            </w:r>
          </w:p>
        </w:tc>
        <w:tc>
          <w:tcPr>
            <w:tcW w:type="dxa" w:w="2200"/>
            <w:shd w:fill="0D9488" w:val="clear"/>
            <w:tcMar>
              <w:top w:type="dxa" w:w="80"/>
              <w:left w:type="dxa" w:w="120"/>
              <w:bottom w:type="dxa" w:w="80"/>
              <w:right w:type="dxa" w:w="120"/>
            </w:tcMar>
          </w:tcPr>
          <w:p>
            <w:r>
              <w:rPr>
                <w:b/>
                <w:bCs/>
                <w:color w:val="FFFFFF"/>
                <w:sz w:val="20"/>
                <w:szCs w:val="20"/>
              </w:rPr>
              <w:t xml:space="preserve">External Dependency</w:t>
            </w:r>
          </w:p>
        </w:tc>
      </w:tr>
      <w:tr>
        <w:tc>
          <w:tcPr>
            <w:tcW w:type="dxa" w:w="1600"/>
            <w:shd w:fill="FFFFFF" w:val="clear"/>
            <w:tcMar>
              <w:top w:type="dxa" w:w="80"/>
              <w:left w:type="dxa" w:w="120"/>
              <w:bottom w:type="dxa" w:w="80"/>
              <w:right w:type="dxa" w:w="120"/>
            </w:tcMar>
          </w:tcPr>
          <w:p>
            <w:r>
              <w:rPr>
                <w:color w:val="374151"/>
                <w:sz w:val="20"/>
                <w:szCs w:val="20"/>
              </w:rPr>
              <w:t xml:space="preserve">Auth</w:t>
            </w:r>
          </w:p>
        </w:tc>
        <w:tc>
          <w:tcPr>
            <w:tcW w:type="dxa" w:w="2000"/>
            <w:shd w:fill="FFFFFF" w:val="clear"/>
            <w:tcMar>
              <w:top w:type="dxa" w:w="80"/>
              <w:left w:type="dxa" w:w="120"/>
              <w:bottom w:type="dxa" w:w="80"/>
              <w:right w:type="dxa" w:w="120"/>
            </w:tcMar>
          </w:tcPr>
          <w:p>
            <w:r>
              <w:rPr>
                <w:color w:val="374151"/>
                <w:sz w:val="20"/>
                <w:szCs w:val="20"/>
              </w:rPr>
              <w:t xml:space="preserve">AuthService</w:t>
            </w:r>
          </w:p>
        </w:tc>
        <w:tc>
          <w:tcPr>
            <w:tcW w:type="dxa" w:w="2760"/>
            <w:shd w:fill="FFFFFF" w:val="clear"/>
            <w:tcMar>
              <w:top w:type="dxa" w:w="80"/>
              <w:left w:type="dxa" w:w="120"/>
              <w:bottom w:type="dxa" w:w="80"/>
              <w:right w:type="dxa" w:w="120"/>
            </w:tcMar>
          </w:tcPr>
          <w:p>
            <w:r>
              <w:rPr>
                <w:color w:val="374151"/>
                <w:sz w:val="20"/>
                <w:szCs w:val="20"/>
              </w:rPr>
              <w:t xml:space="preserve">Sanctum token vs cookie detection</w:t>
            </w:r>
          </w:p>
        </w:tc>
        <w:tc>
          <w:tcPr>
            <w:tcW w:type="dxa" w:w="2200"/>
            <w:shd w:fill="FFFFFF" w:val="clear"/>
            <w:tcMar>
              <w:top w:type="dxa" w:w="80"/>
              <w:left w:type="dxa" w:w="120"/>
              <w:bottom w:type="dxa" w:w="80"/>
              <w:right w:type="dxa" w:w="120"/>
            </w:tcMar>
          </w:tcPr>
          <w:p>
            <w:r>
              <w:rPr>
                <w:color w:val="374151"/>
                <w:sz w:val="20"/>
                <w:szCs w:val="20"/>
              </w:rPr>
              <w:t xml:space="preserve">Google OAuth</w:t>
            </w:r>
          </w:p>
        </w:tc>
      </w:tr>
      <w:tr>
        <w:tc>
          <w:tcPr>
            <w:tcW w:type="dxa" w:w="1600"/>
            <w:shd w:fill="F9FAFB" w:val="clear"/>
            <w:tcMar>
              <w:top w:type="dxa" w:w="80"/>
              <w:left w:type="dxa" w:w="120"/>
              <w:bottom w:type="dxa" w:w="80"/>
              <w:right w:type="dxa" w:w="120"/>
            </w:tcMar>
          </w:tcPr>
          <w:p>
            <w:r>
              <w:rPr>
                <w:color w:val="374151"/>
                <w:sz w:val="20"/>
                <w:szCs w:val="20"/>
              </w:rPr>
              <w:t xml:space="preserve">Queue</w:t>
            </w:r>
          </w:p>
        </w:tc>
        <w:tc>
          <w:tcPr>
            <w:tcW w:type="dxa" w:w="2000"/>
            <w:shd w:fill="F9FAFB" w:val="clear"/>
            <w:tcMar>
              <w:top w:type="dxa" w:w="80"/>
              <w:left w:type="dxa" w:w="120"/>
              <w:bottom w:type="dxa" w:w="80"/>
              <w:right w:type="dxa" w:w="120"/>
            </w:tcMar>
          </w:tcPr>
          <w:p>
            <w:r>
              <w:rPr>
                <w:color w:val="374151"/>
                <w:sz w:val="20"/>
                <w:szCs w:val="20"/>
              </w:rPr>
              <w:t xml:space="preserve">QueueService</w:t>
            </w:r>
          </w:p>
        </w:tc>
        <w:tc>
          <w:tcPr>
            <w:tcW w:type="dxa" w:w="2760"/>
            <w:shd w:fill="F9FAFB" w:val="clear"/>
            <w:tcMar>
              <w:top w:type="dxa" w:w="80"/>
              <w:left w:type="dxa" w:w="120"/>
              <w:bottom w:type="dxa" w:w="80"/>
              <w:right w:type="dxa" w:w="120"/>
            </w:tcMar>
          </w:tcPr>
          <w:p>
            <w:r>
              <w:rPr>
                <w:color w:val="374151"/>
                <w:sz w:val="20"/>
                <w:szCs w:val="20"/>
              </w:rPr>
              <w:t xml:space="preserve">Position recalculation + WA trigger</w:t>
            </w:r>
          </w:p>
        </w:tc>
        <w:tc>
          <w:tcPr>
            <w:tcW w:type="dxa" w:w="2200"/>
            <w:shd w:fill="F9FAFB" w:val="clear"/>
            <w:tcMar>
              <w:top w:type="dxa" w:w="80"/>
              <w:left w:type="dxa" w:w="120"/>
              <w:bottom w:type="dxa" w:w="80"/>
              <w:right w:type="dxa" w:w="120"/>
            </w:tcMar>
          </w:tcPr>
          <w:p>
            <w:r>
              <w:rPr>
                <w:color w:val="374151"/>
                <w:sz w:val="20"/>
                <w:szCs w:val="20"/>
              </w:rPr>
              <w:t xml:space="preserve">Reverb broadcast, Fonnte</w:t>
            </w:r>
          </w:p>
        </w:tc>
      </w:tr>
      <w:tr>
        <w:tc>
          <w:tcPr>
            <w:tcW w:type="dxa" w:w="1600"/>
            <w:shd w:fill="FFFFFF" w:val="clear"/>
            <w:tcMar>
              <w:top w:type="dxa" w:w="80"/>
              <w:left w:type="dxa" w:w="120"/>
              <w:bottom w:type="dxa" w:w="80"/>
              <w:right w:type="dxa" w:w="120"/>
            </w:tcMar>
          </w:tcPr>
          <w:p>
            <w:r>
              <w:rPr>
                <w:color w:val="374151"/>
                <w:sz w:val="20"/>
                <w:szCs w:val="20"/>
              </w:rPr>
              <w:t xml:space="preserve">RME</w:t>
            </w:r>
          </w:p>
        </w:tc>
        <w:tc>
          <w:tcPr>
            <w:tcW w:type="dxa" w:w="2000"/>
            <w:shd w:fill="FFFFFF" w:val="clear"/>
            <w:tcMar>
              <w:top w:type="dxa" w:w="80"/>
              <w:left w:type="dxa" w:w="120"/>
              <w:bottom w:type="dxa" w:w="80"/>
              <w:right w:type="dxa" w:w="120"/>
            </w:tcMar>
          </w:tcPr>
          <w:p>
            <w:r>
              <w:rPr>
                <w:color w:val="374151"/>
                <w:sz w:val="20"/>
                <w:szCs w:val="20"/>
              </w:rPr>
              <w:t xml:space="preserve">MedicalRecordService</w:t>
            </w:r>
          </w:p>
        </w:tc>
        <w:tc>
          <w:tcPr>
            <w:tcW w:type="dxa" w:w="2760"/>
            <w:shd w:fill="FFFFFF" w:val="clear"/>
            <w:tcMar>
              <w:top w:type="dxa" w:w="80"/>
              <w:left w:type="dxa" w:w="120"/>
              <w:bottom w:type="dxa" w:w="80"/>
              <w:right w:type="dxa" w:w="120"/>
            </w:tcMar>
          </w:tcPr>
          <w:p>
            <w:r>
              <w:rPr>
                <w:color w:val="374151"/>
                <w:sz w:val="20"/>
                <w:szCs w:val="20"/>
              </w:rPr>
              <w:t xml:space="preserve">Consent check before cross-clinic access</w:t>
            </w:r>
          </w:p>
        </w:tc>
        <w:tc>
          <w:tcPr>
            <w:tcW w:type="dxa" w:w="2200"/>
            <w:shd w:fill="FFFFFF" w:val="clear"/>
            <w:tcMar>
              <w:top w:type="dxa" w:w="80"/>
              <w:left w:type="dxa" w:w="120"/>
              <w:bottom w:type="dxa" w:w="80"/>
              <w:right w:type="dxa" w:w="120"/>
            </w:tcMar>
          </w:tcPr>
          <w:p>
            <w:r>
              <w:rPr>
                <w:color w:val="374151"/>
                <w:sz w:val="20"/>
                <w:szCs w:val="20"/>
              </w:rPr>
              <w:t xml:space="preserve">ICD-10 lookup cache</w:t>
            </w:r>
          </w:p>
        </w:tc>
      </w:tr>
      <w:tr>
        <w:tc>
          <w:tcPr>
            <w:tcW w:type="dxa" w:w="1600"/>
            <w:shd w:fill="F9FAFB" w:val="clear"/>
            <w:tcMar>
              <w:top w:type="dxa" w:w="80"/>
              <w:left w:type="dxa" w:w="120"/>
              <w:bottom w:type="dxa" w:w="80"/>
              <w:right w:type="dxa" w:w="120"/>
            </w:tcMar>
          </w:tcPr>
          <w:p>
            <w:r>
              <w:rPr>
                <w:color w:val="374151"/>
                <w:sz w:val="20"/>
                <w:szCs w:val="20"/>
              </w:rPr>
              <w:t xml:space="preserve">Referral</w:t>
            </w:r>
          </w:p>
        </w:tc>
        <w:tc>
          <w:tcPr>
            <w:tcW w:type="dxa" w:w="2000"/>
            <w:shd w:fill="F9FAFB" w:val="clear"/>
            <w:tcMar>
              <w:top w:type="dxa" w:w="80"/>
              <w:left w:type="dxa" w:w="120"/>
              <w:bottom w:type="dxa" w:w="80"/>
              <w:right w:type="dxa" w:w="120"/>
            </w:tcMar>
          </w:tcPr>
          <w:p>
            <w:r>
              <w:rPr>
                <w:color w:val="374151"/>
                <w:sz w:val="20"/>
                <w:szCs w:val="20"/>
              </w:rPr>
              <w:t xml:space="preserve">ReferralService</w:t>
            </w:r>
          </w:p>
        </w:tc>
        <w:tc>
          <w:tcPr>
            <w:tcW w:type="dxa" w:w="2760"/>
            <w:shd w:fill="F9FAFB" w:val="clear"/>
            <w:tcMar>
              <w:top w:type="dxa" w:w="80"/>
              <w:left w:type="dxa" w:w="120"/>
              <w:bottom w:type="dxa" w:w="80"/>
              <w:right w:type="dxa" w:w="120"/>
            </w:tcMar>
          </w:tcPr>
          <w:p>
            <w:r>
              <w:rPr>
                <w:color w:val="374151"/>
                <w:sz w:val="20"/>
                <w:szCs w:val="20"/>
              </w:rPr>
              <w:t xml:space="preserve">PDF generation + digital code + QR</w:t>
            </w:r>
          </w:p>
        </w:tc>
        <w:tc>
          <w:tcPr>
            <w:tcW w:type="dxa" w:w="2200"/>
            <w:shd w:fill="F9FAFB" w:val="clear"/>
            <w:tcMar>
              <w:top w:type="dxa" w:w="80"/>
              <w:left w:type="dxa" w:w="120"/>
              <w:bottom w:type="dxa" w:w="80"/>
              <w:right w:type="dxa" w:w="120"/>
            </w:tcMar>
          </w:tcPr>
          <w:p>
            <w:r>
              <w:rPr>
                <w:color w:val="374151"/>
                <w:sz w:val="20"/>
                <w:szCs w:val="20"/>
              </w:rPr>
              <w:t xml:space="preserve">DomPDF, Cloudflare R2</w:t>
            </w:r>
          </w:p>
        </w:tc>
      </w:tr>
      <w:tr>
        <w:tc>
          <w:tcPr>
            <w:tcW w:type="dxa" w:w="1600"/>
            <w:shd w:fill="FFFFFF" w:val="clear"/>
            <w:tcMar>
              <w:top w:type="dxa" w:w="80"/>
              <w:left w:type="dxa" w:w="120"/>
              <w:bottom w:type="dxa" w:w="80"/>
              <w:right w:type="dxa" w:w="120"/>
            </w:tcMar>
          </w:tcPr>
          <w:p>
            <w:r>
              <w:rPr>
                <w:color w:val="374151"/>
                <w:sz w:val="20"/>
                <w:szCs w:val="20"/>
              </w:rPr>
              <w:t xml:space="preserve">Billing</w:t>
            </w:r>
          </w:p>
        </w:tc>
        <w:tc>
          <w:tcPr>
            <w:tcW w:type="dxa" w:w="2000"/>
            <w:shd w:fill="FFFFFF" w:val="clear"/>
            <w:tcMar>
              <w:top w:type="dxa" w:w="80"/>
              <w:left w:type="dxa" w:w="120"/>
              <w:bottom w:type="dxa" w:w="80"/>
              <w:right w:type="dxa" w:w="120"/>
            </w:tcMar>
          </w:tcPr>
          <w:p>
            <w:r>
              <w:rPr>
                <w:color w:val="374151"/>
                <w:sz w:val="20"/>
                <w:szCs w:val="20"/>
              </w:rPr>
              <w:t xml:space="preserve">BillingService</w:t>
            </w:r>
          </w:p>
        </w:tc>
        <w:tc>
          <w:tcPr>
            <w:tcW w:type="dxa" w:w="2760"/>
            <w:shd w:fill="FFFFFF" w:val="clear"/>
            <w:tcMar>
              <w:top w:type="dxa" w:w="80"/>
              <w:left w:type="dxa" w:w="120"/>
              <w:bottom w:type="dxa" w:w="80"/>
              <w:right w:type="dxa" w:w="120"/>
            </w:tcMar>
          </w:tcPr>
          <w:p>
            <w:r>
              <w:rPr>
                <w:color w:val="374151"/>
                <w:sz w:val="20"/>
                <w:szCs w:val="20"/>
              </w:rPr>
              <w:t xml:space="preserve">Invoice aggregation from multiple sources</w:t>
            </w:r>
          </w:p>
        </w:tc>
        <w:tc>
          <w:tcPr>
            <w:tcW w:type="dxa" w:w="2200"/>
            <w:shd w:fill="FFFFFF" w:val="clear"/>
            <w:tcMar>
              <w:top w:type="dxa" w:w="80"/>
              <w:left w:type="dxa" w:w="120"/>
              <w:bottom w:type="dxa" w:w="80"/>
              <w:right w:type="dxa" w:w="120"/>
            </w:tcMar>
          </w:tcPr>
          <w:p>
            <w:r>
              <w:rPr>
                <w:color w:val="374151"/>
                <w:sz w:val="20"/>
                <w:szCs w:val="20"/>
              </w:rPr>
              <w:t xml:space="preserve">DomPDF for receipt</w:t>
            </w:r>
          </w:p>
        </w:tc>
      </w:tr>
      <w:tr>
        <w:tc>
          <w:tcPr>
            <w:tcW w:type="dxa" w:w="1600"/>
            <w:shd w:fill="F9FAFB" w:val="clear"/>
            <w:tcMar>
              <w:top w:type="dxa" w:w="80"/>
              <w:left w:type="dxa" w:w="120"/>
              <w:bottom w:type="dxa" w:w="80"/>
              <w:right w:type="dxa" w:w="120"/>
            </w:tcMar>
          </w:tcPr>
          <w:p>
            <w:r>
              <w:rPr>
                <w:color w:val="374151"/>
                <w:sz w:val="20"/>
                <w:szCs w:val="20"/>
              </w:rPr>
              <w:t xml:space="preserve">Pharmacy</w:t>
            </w:r>
          </w:p>
        </w:tc>
        <w:tc>
          <w:tcPr>
            <w:tcW w:type="dxa" w:w="2000"/>
            <w:shd w:fill="F9FAFB" w:val="clear"/>
            <w:tcMar>
              <w:top w:type="dxa" w:w="80"/>
              <w:left w:type="dxa" w:w="120"/>
              <w:bottom w:type="dxa" w:w="80"/>
              <w:right w:type="dxa" w:w="120"/>
            </w:tcMar>
          </w:tcPr>
          <w:p>
            <w:r>
              <w:rPr>
                <w:color w:val="374151"/>
                <w:sz w:val="20"/>
                <w:szCs w:val="20"/>
              </w:rPr>
              <w:t xml:space="preserve">PharmacyService</w:t>
            </w:r>
          </w:p>
        </w:tc>
        <w:tc>
          <w:tcPr>
            <w:tcW w:type="dxa" w:w="2760"/>
            <w:shd w:fill="F9FAFB" w:val="clear"/>
            <w:tcMar>
              <w:top w:type="dxa" w:w="80"/>
              <w:left w:type="dxa" w:w="120"/>
              <w:bottom w:type="dxa" w:w="80"/>
              <w:right w:type="dxa" w:w="120"/>
            </w:tcMar>
          </w:tcPr>
          <w:p>
            <w:r>
              <w:rPr>
                <w:color w:val="374151"/>
                <w:sz w:val="20"/>
                <w:szCs w:val="20"/>
              </w:rPr>
              <w:t xml:space="preserve">Stock deduction + PrescriptionReady event</w:t>
            </w:r>
          </w:p>
        </w:tc>
        <w:tc>
          <w:tcPr>
            <w:tcW w:type="dxa" w:w="2200"/>
            <w:shd w:fill="F9FAFB" w:val="clear"/>
            <w:tcMar>
              <w:top w:type="dxa" w:w="80"/>
              <w:left w:type="dxa" w:w="120"/>
              <w:bottom w:type="dxa" w:w="80"/>
              <w:right w:type="dxa" w:w="120"/>
            </w:tcMar>
          </w:tcPr>
          <w:p>
            <w:r>
              <w:rPr>
                <w:color w:val="374151"/>
                <w:sz w:val="20"/>
                <w:szCs w:val="20"/>
              </w:rPr>
              <w:t xml:space="preserve">Reverb broadcast</w:t>
            </w:r>
          </w:p>
        </w:tc>
      </w:tr>
      <w:tr>
        <w:tc>
          <w:tcPr>
            <w:tcW w:type="dxa" w:w="1600"/>
            <w:shd w:fill="FFFFFF" w:val="clear"/>
            <w:tcMar>
              <w:top w:type="dxa" w:w="80"/>
              <w:left w:type="dxa" w:w="120"/>
              <w:bottom w:type="dxa" w:w="80"/>
              <w:right w:type="dxa" w:w="120"/>
            </w:tcMar>
          </w:tcPr>
          <w:p>
            <w:r>
              <w:rPr>
                <w:color w:val="374151"/>
                <w:sz w:val="20"/>
                <w:szCs w:val="20"/>
              </w:rPr>
              <w:t xml:space="preserve">Lab</w:t>
            </w:r>
          </w:p>
        </w:tc>
        <w:tc>
          <w:tcPr>
            <w:tcW w:type="dxa" w:w="2000"/>
            <w:shd w:fill="FFFFFF" w:val="clear"/>
            <w:tcMar>
              <w:top w:type="dxa" w:w="80"/>
              <w:left w:type="dxa" w:w="120"/>
              <w:bottom w:type="dxa" w:w="80"/>
              <w:right w:type="dxa" w:w="120"/>
            </w:tcMar>
          </w:tcPr>
          <w:p>
            <w:r>
              <w:rPr>
                <w:color w:val="374151"/>
                <w:sz w:val="20"/>
                <w:szCs w:val="20"/>
              </w:rPr>
              <w:t xml:space="preserve">LabService</w:t>
            </w:r>
          </w:p>
        </w:tc>
        <w:tc>
          <w:tcPr>
            <w:tcW w:type="dxa" w:w="2760"/>
            <w:shd w:fill="FFFFFF" w:val="clear"/>
            <w:tcMar>
              <w:top w:type="dxa" w:w="80"/>
              <w:left w:type="dxa" w:w="120"/>
              <w:bottom w:type="dxa" w:w="80"/>
              <w:right w:type="dxa" w:w="120"/>
            </w:tcMar>
          </w:tcPr>
          <w:p>
            <w:r>
              <w:rPr>
                <w:color w:val="374151"/>
                <w:sz w:val="20"/>
                <w:szCs w:val="20"/>
              </w:rPr>
              <w:t xml:space="preserve">Result input + patient notification</w:t>
            </w:r>
          </w:p>
        </w:tc>
        <w:tc>
          <w:tcPr>
            <w:tcW w:type="dxa" w:w="2200"/>
            <w:shd w:fill="FFFFFF" w:val="clear"/>
            <w:tcMar>
              <w:top w:type="dxa" w:w="80"/>
              <w:left w:type="dxa" w:w="120"/>
              <w:bottom w:type="dxa" w:w="80"/>
              <w:right w:type="dxa" w:w="120"/>
            </w:tcMar>
          </w:tcPr>
          <w:p>
            <w:r>
              <w:rPr>
                <w:color w:val="374151"/>
                <w:sz w:val="20"/>
                <w:szCs w:val="20"/>
              </w:rPr>
              <w:t xml:space="preserve">Push notification</w:t>
            </w:r>
          </w:p>
        </w:tc>
      </w:tr>
      <w:tr>
        <w:tc>
          <w:tcPr>
            <w:tcW w:type="dxa" w:w="1600"/>
            <w:shd w:fill="F9FAFB" w:val="clear"/>
            <w:tcMar>
              <w:top w:type="dxa" w:w="80"/>
              <w:left w:type="dxa" w:w="120"/>
              <w:bottom w:type="dxa" w:w="80"/>
              <w:right w:type="dxa" w:w="120"/>
            </w:tcMar>
          </w:tcPr>
          <w:p>
            <w:r>
              <w:rPr>
                <w:color w:val="374151"/>
                <w:sz w:val="20"/>
                <w:szCs w:val="20"/>
              </w:rPr>
              <w:t xml:space="preserve">Notification</w:t>
            </w:r>
          </w:p>
        </w:tc>
        <w:tc>
          <w:tcPr>
            <w:tcW w:type="dxa" w:w="2000"/>
            <w:shd w:fill="F9FAFB" w:val="clear"/>
            <w:tcMar>
              <w:top w:type="dxa" w:w="80"/>
              <w:left w:type="dxa" w:w="120"/>
              <w:bottom w:type="dxa" w:w="80"/>
              <w:right w:type="dxa" w:w="120"/>
            </w:tcMar>
          </w:tcPr>
          <w:p>
            <w:r>
              <w:rPr>
                <w:color w:val="374151"/>
                <w:sz w:val="20"/>
                <w:szCs w:val="20"/>
              </w:rPr>
              <w:t xml:space="preserve">NotificationService</w:t>
            </w:r>
          </w:p>
        </w:tc>
        <w:tc>
          <w:tcPr>
            <w:tcW w:type="dxa" w:w="2760"/>
            <w:shd w:fill="F9FAFB" w:val="clear"/>
            <w:tcMar>
              <w:top w:type="dxa" w:w="80"/>
              <w:left w:type="dxa" w:w="120"/>
              <w:bottom w:type="dxa" w:w="80"/>
              <w:right w:type="dxa" w:w="120"/>
            </w:tcMar>
          </w:tcPr>
          <w:p>
            <w:r>
              <w:rPr>
                <w:color w:val="374151"/>
                <w:sz w:val="20"/>
                <w:szCs w:val="20"/>
              </w:rPr>
              <w:t xml:space="preserve">Dedup + priority queue + retry</w:t>
            </w:r>
          </w:p>
        </w:tc>
        <w:tc>
          <w:tcPr>
            <w:tcW w:type="dxa" w:w="2200"/>
            <w:shd w:fill="F9FAFB" w:val="clear"/>
            <w:tcMar>
              <w:top w:type="dxa" w:w="80"/>
              <w:left w:type="dxa" w:w="120"/>
              <w:bottom w:type="dxa" w:w="80"/>
              <w:right w:type="dxa" w:w="120"/>
            </w:tcMar>
          </w:tcPr>
          <w:p>
            <w:r>
              <w:rPr>
                <w:color w:val="374151"/>
                <w:sz w:val="20"/>
                <w:szCs w:val="20"/>
              </w:rPr>
              <w:t xml:space="preserve">Fonnte (v1), Redis</w:t>
            </w:r>
          </w:p>
        </w:tc>
      </w:tr>
      <w:tr>
        <w:tc>
          <w:tcPr>
            <w:tcW w:type="dxa" w:w="1600"/>
            <w:shd w:fill="FFFFFF" w:val="clear"/>
            <w:tcMar>
              <w:top w:type="dxa" w:w="80"/>
              <w:left w:type="dxa" w:w="120"/>
              <w:bottom w:type="dxa" w:w="80"/>
              <w:right w:type="dxa" w:w="120"/>
            </w:tcMar>
          </w:tcPr>
          <w:p>
            <w:r>
              <w:rPr>
                <w:color w:val="374151"/>
                <w:sz w:val="20"/>
                <w:szCs w:val="20"/>
              </w:rPr>
              <w:t xml:space="preserve">AI</w:t>
            </w:r>
          </w:p>
        </w:tc>
        <w:tc>
          <w:tcPr>
            <w:tcW w:type="dxa" w:w="2000"/>
            <w:shd w:fill="FFFFFF" w:val="clear"/>
            <w:tcMar>
              <w:top w:type="dxa" w:w="80"/>
              <w:left w:type="dxa" w:w="120"/>
              <w:bottom w:type="dxa" w:w="80"/>
              <w:right w:type="dxa" w:w="120"/>
            </w:tcMar>
          </w:tcPr>
          <w:p>
            <w:r>
              <w:rPr>
                <w:color w:val="374151"/>
                <w:sz w:val="20"/>
                <w:szCs w:val="20"/>
              </w:rPr>
              <w:t xml:space="preserve">AIService</w:t>
            </w:r>
          </w:p>
        </w:tc>
        <w:tc>
          <w:tcPr>
            <w:tcW w:type="dxa" w:w="2760"/>
            <w:shd w:fill="FFFFFF" w:val="clear"/>
            <w:tcMar>
              <w:top w:type="dxa" w:w="80"/>
              <w:left w:type="dxa" w:w="120"/>
              <w:bottom w:type="dxa" w:w="80"/>
              <w:right w:type="dxa" w:w="120"/>
            </w:tcMar>
          </w:tcPr>
          <w:p>
            <w:r>
              <w:rPr>
                <w:color w:val="374151"/>
                <w:sz w:val="20"/>
                <w:szCs w:val="20"/>
              </w:rPr>
              <w:t xml:space="preserve">Prompt construction + staff verification gate</w:t>
            </w:r>
          </w:p>
        </w:tc>
        <w:tc>
          <w:tcPr>
            <w:tcW w:type="dxa" w:w="2200"/>
            <w:shd w:fill="FFFFFF" w:val="clear"/>
            <w:tcMar>
              <w:top w:type="dxa" w:w="80"/>
              <w:left w:type="dxa" w:w="120"/>
              <w:bottom w:type="dxa" w:w="80"/>
              <w:right w:type="dxa" w:w="120"/>
            </w:tcMar>
          </w:tcPr>
          <w:p>
            <w:r>
              <w:rPr>
                <w:color w:val="374151"/>
                <w:sz w:val="20"/>
                <w:szCs w:val="20"/>
              </w:rPr>
              <w:t xml:space="preserve">Gemini Flash API</w:t>
            </w:r>
          </w:p>
        </w:tc>
      </w:tr>
      <w:tr>
        <w:tc>
          <w:tcPr>
            <w:tcW w:type="dxa" w:w="1600"/>
            <w:shd w:fill="F9FAFB" w:val="clear"/>
            <w:tcMar>
              <w:top w:type="dxa" w:w="80"/>
              <w:left w:type="dxa" w:w="120"/>
              <w:bottom w:type="dxa" w:w="80"/>
              <w:right w:type="dxa" w:w="120"/>
            </w:tcMar>
          </w:tcPr>
          <w:p>
            <w:r>
              <w:rPr>
                <w:color w:val="374151"/>
                <w:sz w:val="20"/>
                <w:szCs w:val="20"/>
              </w:rPr>
              <w:t xml:space="preserve">Reports</w:t>
            </w:r>
          </w:p>
        </w:tc>
        <w:tc>
          <w:tcPr>
            <w:tcW w:type="dxa" w:w="2000"/>
            <w:shd w:fill="F9FAFB" w:val="clear"/>
            <w:tcMar>
              <w:top w:type="dxa" w:w="80"/>
              <w:left w:type="dxa" w:w="120"/>
              <w:bottom w:type="dxa" w:w="80"/>
              <w:right w:type="dxa" w:w="120"/>
            </w:tcMar>
          </w:tcPr>
          <w:p>
            <w:r>
              <w:rPr>
                <w:color w:val="374151"/>
                <w:sz w:val="20"/>
                <w:szCs w:val="20"/>
              </w:rPr>
              <w:t xml:space="preserve">ReportService</w:t>
            </w:r>
          </w:p>
        </w:tc>
        <w:tc>
          <w:tcPr>
            <w:tcW w:type="dxa" w:w="2760"/>
            <w:shd w:fill="F9FAFB" w:val="clear"/>
            <w:tcMar>
              <w:top w:type="dxa" w:w="80"/>
              <w:left w:type="dxa" w:w="120"/>
              <w:bottom w:type="dxa" w:w="80"/>
              <w:right w:type="dxa" w:w="120"/>
            </w:tcMar>
          </w:tcPr>
          <w:p>
            <w:r>
              <w:rPr>
                <w:color w:val="374151"/>
                <w:sz w:val="20"/>
                <w:szCs w:val="20"/>
              </w:rPr>
              <w:t xml:space="preserve">Async job + Redis cache + PDF/Excel export</w:t>
            </w:r>
          </w:p>
        </w:tc>
        <w:tc>
          <w:tcPr>
            <w:tcW w:type="dxa" w:w="2200"/>
            <w:shd w:fill="F9FAFB" w:val="clear"/>
            <w:tcMar>
              <w:top w:type="dxa" w:w="80"/>
              <w:left w:type="dxa" w:w="120"/>
              <w:bottom w:type="dxa" w:w="80"/>
              <w:right w:type="dxa" w:w="120"/>
            </w:tcMar>
          </w:tcPr>
          <w:p>
            <w:r>
              <w:rPr>
                <w:color w:val="374151"/>
                <w:sz w:val="20"/>
                <w:szCs w:val="20"/>
              </w:rPr>
              <w:t xml:space="preserve">Maatwebsite Excel</w:t>
            </w:r>
          </w:p>
        </w:tc>
      </w:tr>
      <w:tr>
        <w:tc>
          <w:tcPr>
            <w:tcW w:type="dxa" w:w="1600"/>
            <w:shd w:fill="FFFFFF" w:val="clear"/>
            <w:tcMar>
              <w:top w:type="dxa" w:w="80"/>
              <w:left w:type="dxa" w:w="120"/>
              <w:bottom w:type="dxa" w:w="80"/>
              <w:right w:type="dxa" w:w="120"/>
            </w:tcMar>
          </w:tcPr>
          <w:p>
            <w:r>
              <w:rPr>
                <w:color w:val="374151"/>
                <w:sz w:val="20"/>
                <w:szCs w:val="20"/>
              </w:rPr>
              <w:t xml:space="preserve">RBAC</w:t>
            </w:r>
          </w:p>
        </w:tc>
        <w:tc>
          <w:tcPr>
            <w:tcW w:type="dxa" w:w="2000"/>
            <w:shd w:fill="FFFFFF" w:val="clear"/>
            <w:tcMar>
              <w:top w:type="dxa" w:w="80"/>
              <w:left w:type="dxa" w:w="120"/>
              <w:bottom w:type="dxa" w:w="80"/>
              <w:right w:type="dxa" w:w="120"/>
            </w:tcMar>
          </w:tcPr>
          <w:p>
            <w:r>
              <w:rPr>
                <w:color w:val="374151"/>
                <w:sz w:val="20"/>
                <w:szCs w:val="20"/>
              </w:rPr>
              <w:t xml:space="preserve">PermissionService</w:t>
            </w:r>
          </w:p>
        </w:tc>
        <w:tc>
          <w:tcPr>
            <w:tcW w:type="dxa" w:w="2760"/>
            <w:shd w:fill="FFFFFF" w:val="clear"/>
            <w:tcMar>
              <w:top w:type="dxa" w:w="80"/>
              <w:left w:type="dxa" w:w="120"/>
              <w:bottom w:type="dxa" w:w="80"/>
              <w:right w:type="dxa" w:w="120"/>
            </w:tcMar>
          </w:tcPr>
          <w:p>
            <w:r>
              <w:rPr>
                <w:color w:val="374151"/>
                <w:sz w:val="20"/>
                <w:szCs w:val="20"/>
              </w:rPr>
              <w:t xml:space="preserve">3-layer resolution: revoke→grant→role→deny</w:t>
            </w:r>
          </w:p>
        </w:tc>
        <w:tc>
          <w:tcPr>
            <w:tcW w:type="dxa" w:w="2200"/>
            <w:shd w:fill="FFFFFF" w:val="clear"/>
            <w:tcMar>
              <w:top w:type="dxa" w:w="80"/>
              <w:left w:type="dxa" w:w="120"/>
              <w:bottom w:type="dxa" w:w="80"/>
              <w:right w:type="dxa" w:w="120"/>
            </w:tcMar>
          </w:tcPr>
          <w:p>
            <w:r>
              <w:rPr>
                <w:color w:val="374151"/>
                <w:sz w:val="20"/>
                <w:szCs w:val="20"/>
              </w:rPr>
              <w:t xml:space="preserve">Spatie permission</w:t>
            </w:r>
          </w:p>
        </w:tc>
      </w:tr>
      <w:tr>
        <w:tc>
          <w:tcPr>
            <w:tcW w:type="dxa" w:w="1600"/>
            <w:shd w:fill="F9FAFB" w:val="clear"/>
            <w:tcMar>
              <w:top w:type="dxa" w:w="80"/>
              <w:left w:type="dxa" w:w="120"/>
              <w:bottom w:type="dxa" w:w="80"/>
              <w:right w:type="dxa" w:w="120"/>
            </w:tcMar>
          </w:tcPr>
          <w:p>
            <w:r>
              <w:rPr>
                <w:color w:val="374151"/>
                <w:sz w:val="20"/>
                <w:szCs w:val="20"/>
              </w:rPr>
              <w:t xml:space="preserve">FeatureFlag</w:t>
            </w:r>
          </w:p>
        </w:tc>
        <w:tc>
          <w:tcPr>
            <w:tcW w:type="dxa" w:w="2000"/>
            <w:shd w:fill="F9FAFB" w:val="clear"/>
            <w:tcMar>
              <w:top w:type="dxa" w:w="80"/>
              <w:left w:type="dxa" w:w="120"/>
              <w:bottom w:type="dxa" w:w="80"/>
              <w:right w:type="dxa" w:w="120"/>
            </w:tcMar>
          </w:tcPr>
          <w:p>
            <w:r>
              <w:rPr>
                <w:color w:val="374151"/>
                <w:sz w:val="20"/>
                <w:szCs w:val="20"/>
              </w:rPr>
              <w:t xml:space="preserve">FeatureFlagService</w:t>
            </w:r>
          </w:p>
        </w:tc>
        <w:tc>
          <w:tcPr>
            <w:tcW w:type="dxa" w:w="2760"/>
            <w:shd w:fill="F9FAFB" w:val="clear"/>
            <w:tcMar>
              <w:top w:type="dxa" w:w="80"/>
              <w:left w:type="dxa" w:w="120"/>
              <w:bottom w:type="dxa" w:w="80"/>
              <w:right w:type="dxa" w:w="120"/>
            </w:tcMar>
          </w:tcPr>
          <w:p>
            <w:r>
              <w:rPr>
                <w:color w:val="374151"/>
                <w:sz w:val="20"/>
                <w:szCs w:val="20"/>
              </w:rPr>
              <w:t xml:space="preserve">Redis cache + clinic_type → feature map</w:t>
            </w:r>
          </w:p>
        </w:tc>
        <w:tc>
          <w:tcPr>
            <w:tcW w:type="dxa" w:w="2200"/>
            <w:shd w:fill="F9FAFB" w:val="clear"/>
            <w:tcMar>
              <w:top w:type="dxa" w:w="80"/>
              <w:left w:type="dxa" w:w="120"/>
              <w:bottom w:type="dxa" w:w="80"/>
              <w:right w:type="dxa" w:w="120"/>
            </w:tcMar>
          </w:tcPr>
          <w:p>
            <w:r>
              <w:rPr>
                <w:color w:val="374151"/>
                <w:sz w:val="20"/>
                <w:szCs w:val="20"/>
              </w:rPr>
              <w:t xml:space="preserve">Redis</w:t>
            </w:r>
          </w:p>
        </w:tc>
      </w:tr>
    </w:tbl>
    <w:p>
      <w:r>
        <w:br w:type="page"/>
      </w:r>
    </w:p>
    <w:p>
      <w:pPr>
        <w:pStyle w:val="Heading1"/>
        <w:pBdr>
          <w:bottom w:val="single" w:color="0D9488" w:sz="4"/>
        </w:pBdr>
        <w:spacing w:after="160" w:before="480"/>
      </w:pPr>
      <w:r>
        <w:t xml:space="preserve">4. Data Model Summary</w:t>
      </w:r>
    </w:p>
    <w:p>
      <w:pPr>
        <w:spacing w:after="120"/>
      </w:pPr>
      <w:r>
        <w:rPr>
          <w:color w:val="374151"/>
          <w:sz w:val="22"/>
          <w:szCs w:val="22"/>
        </w:rPr>
        <w:t xml:space="preserve">Full ERD is in Step 7. This section summarises the key design decisions in the data model.</w:t>
      </w:r>
    </w:p>
    <w:p>
      <w:pPr>
        <w:spacing w:after="80"/>
      </w:pPr>
    </w:p>
    <w:p>
      <w:pPr>
        <w:pStyle w:val="Heading2"/>
        <w:spacing w:after="100" w:before="320"/>
      </w:pPr>
      <w:r>
        <w:t xml:space="preserve">4.1 Multi-tenancy</w:t>
      </w:r>
    </w:p>
    <w:p>
      <w:pPr>
        <w:pStyle w:val="ListParagraph"/>
        <w:numPr>
          <w:ilvl w:val="0"/>
          <w:numId w:val="2"/>
        </w:numPr>
        <w:spacing w:after="60"/>
      </w:pPr>
      <w:r>
        <w:rPr>
          <w:color w:val="374151"/>
          <w:sz w:val="21"/>
          <w:szCs w:val="21"/>
        </w:rPr>
        <w:t xml:space="preserve">Every tenant-scoped table has clinic_id as a non-nullable indexed foreign key.</w:t>
      </w:r>
    </w:p>
    <w:p>
      <w:pPr>
        <w:pStyle w:val="ListParagraph"/>
        <w:numPr>
          <w:ilvl w:val="0"/>
          <w:numId w:val="2"/>
        </w:numPr>
        <w:spacing w:after="60"/>
      </w:pPr>
      <w:r>
        <w:rPr>
          <w:color w:val="374151"/>
          <w:sz w:val="21"/>
          <w:szCs w:val="21"/>
        </w:rPr>
        <w:t xml:space="preserve">HasClinicScope global Eloquent scope auto-appends WHERE clinic_id = ? on all queries.</w:t>
      </w:r>
    </w:p>
    <w:p>
      <w:pPr>
        <w:pStyle w:val="ListParagraph"/>
        <w:numPr>
          <w:ilvl w:val="0"/>
          <w:numId w:val="2"/>
        </w:numPr>
        <w:spacing w:after="60"/>
      </w:pPr>
      <w:r>
        <w:rPr>
          <w:color w:val="374151"/>
          <w:sz w:val="21"/>
          <w:szCs w:val="21"/>
        </w:rPr>
        <w:t xml:space="preserve">Three tables are NOT clinic_id scoped: diagnoses (ICD-10, universal), media (Spatie, morph-referenced), activity_log (Spatie, polymorphic).</w:t>
      </w:r>
    </w:p>
    <w:p>
      <w:pPr>
        <w:spacing w:after="80"/>
      </w:pPr>
    </w:p>
    <w:p>
      <w:pPr>
        <w:pStyle w:val="Heading2"/>
        <w:spacing w:after="100" w:before="320"/>
      </w:pPr>
      <w:r>
        <w:t xml:space="preserve">4.2 Patient identity</w:t>
      </w:r>
    </w:p>
    <w:p>
      <w:pPr>
        <w:pStyle w:val="ListParagraph"/>
        <w:numPr>
          <w:ilvl w:val="0"/>
          <w:numId w:val="2"/>
        </w:numPr>
        <w:spacing w:after="60"/>
      </w:pPr>
      <w:r>
        <w:rPr>
          <w:color w:val="374151"/>
          <w:sz w:val="21"/>
          <w:szCs w:val="21"/>
        </w:rPr>
        <w:t xml:space="preserve">patients table stores all patients — guest and registered — with clinic_id scope.</w:t>
      </w:r>
    </w:p>
    <w:p>
      <w:pPr>
        <w:pStyle w:val="ListParagraph"/>
        <w:numPr>
          <w:ilvl w:val="0"/>
          <w:numId w:val="2"/>
        </w:numPr>
        <w:spacing w:after="60"/>
      </w:pPr>
      <w:r>
        <w:rPr>
          <w:color w:val="374151"/>
          <w:sz w:val="21"/>
          <w:szCs w:val="21"/>
        </w:rPr>
        <w:t xml:space="preserve">patient_accounts stores login credentials for registered patients only. Linked 1:1 to patients.</w:t>
      </w:r>
    </w:p>
    <w:p>
      <w:pPr>
        <w:pStyle w:val="ListParagraph"/>
        <w:numPr>
          <w:ilvl w:val="0"/>
          <w:numId w:val="2"/>
        </w:numPr>
        <w:spacing w:after="60"/>
      </w:pPr>
      <w:r>
        <w:rPr>
          <w:color w:val="374151"/>
          <w:sz w:val="21"/>
          <w:szCs w:val="21"/>
        </w:rPr>
        <w:t xml:space="preserve">NIK is the universal identifier per Permenkes 24/2022. Nullable for guest patients who don't provide it.</w:t>
      </w:r>
    </w:p>
    <w:p>
      <w:pPr>
        <w:pStyle w:val="ListParagraph"/>
        <w:numPr>
          <w:ilvl w:val="0"/>
          <w:numId w:val="2"/>
        </w:numPr>
        <w:spacing w:after="60"/>
      </w:pPr>
      <w:r>
        <w:rPr>
          <w:color w:val="374151"/>
          <w:sz w:val="21"/>
          <w:szCs w:val="21"/>
        </w:rPr>
        <w:t xml:space="preserve">Guest upgrade: when a guest patient registers, system matches by NIK, links patient_account to existing patients row, all visit history migrates automatically.</w:t>
      </w:r>
    </w:p>
    <w:p>
      <w:pPr>
        <w:spacing w:after="80"/>
      </w:pPr>
    </w:p>
    <w:p>
      <w:pPr>
        <w:pStyle w:val="Heading2"/>
        <w:spacing w:after="100" w:before="320"/>
      </w:pPr>
      <w:r>
        <w:t xml:space="preserve">4.3 Queue design</w:t>
      </w:r>
    </w:p>
    <w:p>
      <w:pPr>
        <w:pStyle w:val="ListParagraph"/>
        <w:numPr>
          <w:ilvl w:val="0"/>
          <w:numId w:val="2"/>
        </w:numPr>
        <w:spacing w:after="60"/>
      </w:pPr>
      <w:r>
        <w:rPr>
          <w:color w:val="374151"/>
          <w:sz w:val="21"/>
          <w:szCs w:val="21"/>
        </w:rPr>
        <w:t xml:space="preserve">queue_items stores each visit/queue entry. token column is a unique public tracking identifier (KLK-{8alphanum}).</w:t>
      </w:r>
    </w:p>
    <w:p>
      <w:pPr>
        <w:pStyle w:val="ListParagraph"/>
        <w:numPr>
          <w:ilvl w:val="0"/>
          <w:numId w:val="2"/>
        </w:numPr>
        <w:spacing w:after="60"/>
      </w:pPr>
      <w:r>
        <w:rPr>
          <w:color w:val="374151"/>
          <w:sz w:val="21"/>
          <w:szCs w:val="21"/>
        </w:rPr>
        <w:t xml:space="preserve">Position is not stored as an absolute column — calculated on-the-fly via ROW_NUMBER() to avoid cascade update on every position change.</w:t>
      </w:r>
    </w:p>
    <w:p>
      <w:pPr>
        <w:pStyle w:val="ListParagraph"/>
        <w:numPr>
          <w:ilvl w:val="0"/>
          <w:numId w:val="2"/>
        </w:numPr>
        <w:spacing w:after="60"/>
      </w:pPr>
      <w:r>
        <w:rPr>
          <w:color w:val="374151"/>
          <w:sz w:val="21"/>
          <w:szCs w:val="21"/>
        </w:rPr>
        <w:t xml:space="preserve">queue_items.patient_id is nullable — guest patients create a queue_item without a linked patient_account.</w:t>
      </w:r>
    </w:p>
    <w:p>
      <w:pPr>
        <w:spacing w:after="80"/>
      </w:pPr>
    </w:p>
    <w:p>
      <w:pPr>
        <w:pStyle w:val="Heading2"/>
        <w:spacing w:after="100" w:before="320"/>
      </w:pPr>
      <w:r>
        <w:t xml:space="preserve">4.4 RBAC tables</w:t>
      </w:r>
    </w:p>
    <w:p>
      <w:pPr>
        <w:pStyle w:val="ListParagraph"/>
        <w:numPr>
          <w:ilvl w:val="0"/>
          <w:numId w:val="2"/>
        </w:numPr>
        <w:spacing w:after="60"/>
      </w:pPr>
      <w:r>
        <w:rPr>
          <w:color w:val="374151"/>
          <w:sz w:val="21"/>
          <w:szCs w:val="21"/>
        </w:rPr>
        <w:t xml:space="preserve">roles table is clinic_id scoped — roles are per-clinic, not global.</w:t>
      </w:r>
    </w:p>
    <w:p>
      <w:pPr>
        <w:pStyle w:val="ListParagraph"/>
        <w:numPr>
          <w:ilvl w:val="0"/>
          <w:numId w:val="2"/>
        </w:numPr>
        <w:spacing w:after="60"/>
      </w:pPr>
      <w:r>
        <w:rPr>
          <w:color w:val="374151"/>
          <w:sz w:val="21"/>
          <w:szCs w:val="21"/>
        </w:rPr>
        <w:t xml:space="preserve">permissions table is NOT clinic_id scoped — system permissions are global and immutable.</w:t>
      </w:r>
    </w:p>
    <w:p>
      <w:pPr>
        <w:pStyle w:val="ListParagraph"/>
        <w:numPr>
          <w:ilvl w:val="0"/>
          <w:numId w:val="2"/>
        </w:numPr>
        <w:spacing w:after="60"/>
      </w:pPr>
      <w:r>
        <w:rPr>
          <w:color w:val="374151"/>
          <w:sz w:val="21"/>
          <w:szCs w:val="21"/>
        </w:rPr>
        <w:t xml:space="preserve">model_has_permissions includes a granted boolean column for Layer 3 override (not in default Spatie schema — added via custom migration).</w:t>
      </w:r>
    </w:p>
    <w:p>
      <w:r>
        <w:br w:type="page"/>
      </w:r>
    </w:p>
    <w:p>
      <w:pPr>
        <w:pStyle w:val="Heading1"/>
        <w:pBdr>
          <w:bottom w:val="single" w:color="0D9488" w:sz="4"/>
        </w:pBdr>
        <w:spacing w:after="160" w:before="480"/>
      </w:pPr>
      <w:r>
        <w:t xml:space="preserve">5. API Design Standards</w:t>
      </w:r>
    </w:p>
    <w:p>
      <w:pPr>
        <w:spacing w:after="120"/>
      </w:pPr>
      <w:r>
        <w:rPr>
          <w:color w:val="374151"/>
          <w:sz w:val="22"/>
          <w:szCs w:val="22"/>
        </w:rPr>
        <w:t xml:space="preserve">Full API contract is in Step 8. This section documents the conventions applied consistently across all 70 endpoints.</w:t>
      </w:r>
    </w:p>
    <w:p>
      <w:pPr>
        <w:spacing w:after="80"/>
      </w:pPr>
    </w:p>
    <w:p>
      <w:pPr>
        <w:pStyle w:val="Heading2"/>
        <w:spacing w:after="100" w:before="320"/>
      </w:pPr>
      <w:r>
        <w:t xml:space="preserve">5.1 URL structure</w:t>
      </w:r>
    </w:p>
    <w:p>
      <w:pPr>
        <w:shd w:fill="F1F5F9" w:val="clear"/>
        <w:spacing w:after="40"/>
        <w:ind w:left="200"/>
      </w:pPr>
      <w:r>
        <w:rPr>
          <w:rFonts w:ascii="Courier New" w:cs="Courier New" w:eastAsia="Courier New" w:hAnsi="Courier New"/>
          <w:color w:val="134E4A"/>
          <w:sz w:val="19"/>
          <w:szCs w:val="19"/>
        </w:rPr>
        <w:t xml:space="preserve">/api/v1/{domain}/{resource}/{id}/{action}</w:t>
      </w:r>
    </w:p>
    <w:p>
      <w:pPr>
        <w:pStyle w:val="ListParagraph"/>
        <w:numPr>
          <w:ilvl w:val="0"/>
          <w:numId w:val="2"/>
        </w:numPr>
        <w:spacing w:after="60"/>
      </w:pPr>
      <w:r>
        <w:rPr>
          <w:color w:val="374151"/>
          <w:sz w:val="21"/>
          <w:szCs w:val="21"/>
        </w:rPr>
        <w:t xml:space="preserve">All authenticated endpoints under /api/v1/</w:t>
      </w:r>
    </w:p>
    <w:p>
      <w:pPr>
        <w:pStyle w:val="ListParagraph"/>
        <w:numPr>
          <w:ilvl w:val="0"/>
          <w:numId w:val="2"/>
        </w:numPr>
        <w:spacing w:after="60"/>
      </w:pPr>
      <w:r>
        <w:rPr>
          <w:color w:val="374151"/>
          <w:sz w:val="21"/>
          <w:szCs w:val="21"/>
        </w:rPr>
        <w:t xml:space="preserve">Public endpoints (no auth) under /api/public/</w:t>
      </w:r>
    </w:p>
    <w:p>
      <w:pPr>
        <w:pStyle w:val="ListParagraph"/>
        <w:numPr>
          <w:ilvl w:val="0"/>
          <w:numId w:val="2"/>
        </w:numPr>
        <w:spacing w:after="60"/>
      </w:pPr>
      <w:r>
        <w:rPr>
          <w:color w:val="374151"/>
          <w:sz w:val="21"/>
          <w:szCs w:val="21"/>
        </w:rPr>
        <w:t xml:space="preserve">Health check at /api/health</w:t>
      </w:r>
    </w:p>
    <w:p>
      <w:pPr>
        <w:spacing w:after="80"/>
      </w:pPr>
    </w:p>
    <w:p>
      <w:pPr>
        <w:pStyle w:val="Heading2"/>
        <w:spacing w:after="100" w:before="320"/>
      </w:pPr>
      <w:r>
        <w:t xml:space="preserve">5.2 Response envelope</w:t>
      </w:r>
    </w:p>
    <w:p>
      <w:pPr>
        <w:shd w:fill="F1F5F9" w:val="clear"/>
        <w:spacing w:after="40"/>
        <w:ind w:left="200"/>
      </w:pPr>
      <w:r>
        <w:rPr>
          <w:rFonts w:ascii="Courier New" w:cs="Courier New" w:eastAsia="Courier New" w:hAnsi="Courier New"/>
          <w:color w:val="134E4A"/>
          <w:sz w:val="19"/>
          <w:szCs w:val="19"/>
        </w:rPr>
        <w:t xml:space="preserve">{ "success": bool, "data": any|null, "error": { "code": "SNAKE_CASE", "message": "..." }|null, "meta": { "page": int, "per_page": int, "total": int }|null }</w:t>
      </w:r>
    </w:p>
    <w:p>
      <w:pPr>
        <w:spacing w:after="80"/>
      </w:pPr>
    </w:p>
    <w:p>
      <w:pPr>
        <w:pStyle w:val="Heading2"/>
        <w:spacing w:after="100" w:before="320"/>
      </w:pPr>
      <w:r>
        <w:t xml:space="preserve">5.3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shd w:fill="0D9488" w:val="clear"/>
            <w:tcMar>
              <w:top w:type="dxa" w:w="80"/>
              <w:left w:type="dxa" w:w="120"/>
              <w:bottom w:type="dxa" w:w="80"/>
              <w:right w:type="dxa" w:w="120"/>
            </w:tcMar>
          </w:tcPr>
          <w:p>
            <w:r>
              <w:rPr>
                <w:b/>
                <w:bCs/>
                <w:color w:val="FFFFFF"/>
                <w:sz w:val="20"/>
                <w:szCs w:val="20"/>
              </w:rPr>
              <w:t xml:space="preserve">HTTP Status</w:t>
            </w:r>
          </w:p>
        </w:tc>
        <w:tc>
          <w:tcPr>
            <w:tcW w:type="dxa" w:w="2400"/>
            <w:shd w:fill="0D9488" w:val="clear"/>
            <w:tcMar>
              <w:top w:type="dxa" w:w="80"/>
              <w:left w:type="dxa" w:w="120"/>
              <w:bottom w:type="dxa" w:w="80"/>
              <w:right w:type="dxa" w:w="120"/>
            </w:tcMar>
          </w:tcPr>
          <w:p>
            <w:r>
              <w:rPr>
                <w:b/>
                <w:bCs/>
                <w:color w:val="FFFFFF"/>
                <w:sz w:val="20"/>
                <w:szCs w:val="20"/>
              </w:rPr>
              <w:t xml:space="preserve">Error Code</w:t>
            </w:r>
          </w:p>
        </w:tc>
        <w:tc>
          <w:tcPr>
            <w:tcW w:type="dxa" w:w="5560"/>
            <w:shd w:fill="0D9488" w:val="clear"/>
            <w:tcMar>
              <w:top w:type="dxa" w:w="80"/>
              <w:left w:type="dxa" w:w="120"/>
              <w:bottom w:type="dxa" w:w="80"/>
              <w:right w:type="dxa" w:w="120"/>
            </w:tcMar>
          </w:tcPr>
          <w:p>
            <w:r>
              <w:rPr>
                <w:b/>
                <w:bCs/>
                <w:color w:val="FFFFFF"/>
                <w:sz w:val="20"/>
                <w:szCs w:val="20"/>
              </w:rPr>
              <w:t xml:space="preserve">When Used</w:t>
            </w:r>
          </w:p>
        </w:tc>
      </w:tr>
      <w:tr>
        <w:tc>
          <w:tcPr>
            <w:tcW w:type="dxa" w:w="1400"/>
            <w:shd w:fill="FFFFFF" w:val="clear"/>
            <w:tcMar>
              <w:top w:type="dxa" w:w="80"/>
              <w:left w:type="dxa" w:w="120"/>
              <w:bottom w:type="dxa" w:w="80"/>
              <w:right w:type="dxa" w:w="120"/>
            </w:tcMar>
          </w:tcPr>
          <w:p>
            <w:r>
              <w:rPr>
                <w:color w:val="374151"/>
                <w:sz w:val="20"/>
                <w:szCs w:val="20"/>
              </w:rPr>
              <w:t xml:space="preserve">400</w:t>
            </w:r>
          </w:p>
        </w:tc>
        <w:tc>
          <w:tcPr>
            <w:tcW w:type="dxa" w:w="2400"/>
            <w:shd w:fill="FFFFFF" w:val="clear"/>
            <w:tcMar>
              <w:top w:type="dxa" w:w="80"/>
              <w:left w:type="dxa" w:w="120"/>
              <w:bottom w:type="dxa" w:w="80"/>
              <w:right w:type="dxa" w:w="120"/>
            </w:tcMar>
          </w:tcPr>
          <w:p>
            <w:r>
              <w:rPr>
                <w:color w:val="374151"/>
                <w:sz w:val="20"/>
                <w:szCs w:val="20"/>
              </w:rPr>
              <w:t xml:space="preserve">CLINIC_CONTEXT_MISSING</w:t>
            </w:r>
          </w:p>
        </w:tc>
        <w:tc>
          <w:tcPr>
            <w:tcW w:type="dxa" w:w="5560"/>
            <w:shd w:fill="FFFFFF" w:val="clear"/>
            <w:tcMar>
              <w:top w:type="dxa" w:w="80"/>
              <w:left w:type="dxa" w:w="120"/>
              <w:bottom w:type="dxa" w:w="80"/>
              <w:right w:type="dxa" w:w="120"/>
            </w:tcMar>
          </w:tcPr>
          <w:p>
            <w:r>
              <w:rPr>
                <w:color w:val="374151"/>
                <w:sz w:val="20"/>
                <w:szCs w:val="20"/>
              </w:rPr>
              <w:t xml:space="preserve">clinic_id could not be resolved from request</w:t>
            </w:r>
          </w:p>
        </w:tc>
      </w:tr>
      <w:tr>
        <w:tc>
          <w:tcPr>
            <w:tcW w:type="dxa" w:w="1400"/>
            <w:shd w:fill="F9FAFB" w:val="clear"/>
            <w:tcMar>
              <w:top w:type="dxa" w:w="80"/>
              <w:left w:type="dxa" w:w="120"/>
              <w:bottom w:type="dxa" w:w="80"/>
              <w:right w:type="dxa" w:w="120"/>
            </w:tcMar>
          </w:tcPr>
          <w:p>
            <w:r>
              <w:rPr>
                <w:color w:val="374151"/>
                <w:sz w:val="20"/>
                <w:szCs w:val="20"/>
              </w:rPr>
              <w:t xml:space="preserve">401</w:t>
            </w:r>
          </w:p>
        </w:tc>
        <w:tc>
          <w:tcPr>
            <w:tcW w:type="dxa" w:w="2400"/>
            <w:shd w:fill="F9FAFB" w:val="clear"/>
            <w:tcMar>
              <w:top w:type="dxa" w:w="80"/>
              <w:left w:type="dxa" w:w="120"/>
              <w:bottom w:type="dxa" w:w="80"/>
              <w:right w:type="dxa" w:w="120"/>
            </w:tcMar>
          </w:tcPr>
          <w:p>
            <w:r>
              <w:rPr>
                <w:color w:val="374151"/>
                <w:sz w:val="20"/>
                <w:szCs w:val="20"/>
              </w:rPr>
              <w:t xml:space="preserve">UNAUTHENTICATED</w:t>
            </w:r>
          </w:p>
        </w:tc>
        <w:tc>
          <w:tcPr>
            <w:tcW w:type="dxa" w:w="5560"/>
            <w:shd w:fill="F9FAFB" w:val="clear"/>
            <w:tcMar>
              <w:top w:type="dxa" w:w="80"/>
              <w:left w:type="dxa" w:w="120"/>
              <w:bottom w:type="dxa" w:w="80"/>
              <w:right w:type="dxa" w:w="120"/>
            </w:tcMar>
          </w:tcPr>
          <w:p>
            <w:r>
              <w:rPr>
                <w:color w:val="374151"/>
                <w:sz w:val="20"/>
                <w:szCs w:val="20"/>
              </w:rPr>
              <w:t xml:space="preserve">No valid session or token</w:t>
            </w:r>
          </w:p>
        </w:tc>
      </w:tr>
      <w:tr>
        <w:tc>
          <w:tcPr>
            <w:tcW w:type="dxa" w:w="1400"/>
            <w:shd w:fill="FFFFFF" w:val="clear"/>
            <w:tcMar>
              <w:top w:type="dxa" w:w="80"/>
              <w:left w:type="dxa" w:w="120"/>
              <w:bottom w:type="dxa" w:w="80"/>
              <w:right w:type="dxa" w:w="120"/>
            </w:tcMar>
          </w:tcPr>
          <w:p>
            <w:r>
              <w:rPr>
                <w:color w:val="374151"/>
                <w:sz w:val="20"/>
                <w:szCs w:val="20"/>
              </w:rPr>
              <w:t xml:space="preserve">403</w:t>
            </w:r>
          </w:p>
        </w:tc>
        <w:tc>
          <w:tcPr>
            <w:tcW w:type="dxa" w:w="2400"/>
            <w:shd w:fill="FFFFFF" w:val="clear"/>
            <w:tcMar>
              <w:top w:type="dxa" w:w="80"/>
              <w:left w:type="dxa" w:w="120"/>
              <w:bottom w:type="dxa" w:w="80"/>
              <w:right w:type="dxa" w:w="120"/>
            </w:tcMar>
          </w:tcPr>
          <w:p>
            <w:r>
              <w:rPr>
                <w:color w:val="374151"/>
                <w:sz w:val="20"/>
                <w:szCs w:val="20"/>
              </w:rPr>
              <w:t xml:space="preserve">PERMISSION_DENIED</w:t>
            </w:r>
          </w:p>
        </w:tc>
        <w:tc>
          <w:tcPr>
            <w:tcW w:type="dxa" w:w="5560"/>
            <w:shd w:fill="FFFFFF" w:val="clear"/>
            <w:tcMar>
              <w:top w:type="dxa" w:w="80"/>
              <w:left w:type="dxa" w:w="120"/>
              <w:bottom w:type="dxa" w:w="80"/>
              <w:right w:type="dxa" w:w="120"/>
            </w:tcMar>
          </w:tcPr>
          <w:p>
            <w:r>
              <w:rPr>
                <w:color w:val="374151"/>
                <w:sz w:val="20"/>
                <w:szCs w:val="20"/>
              </w:rPr>
              <w:t xml:space="preserve">Authenticated but missing required permission</w:t>
            </w:r>
          </w:p>
        </w:tc>
      </w:tr>
      <w:tr>
        <w:tc>
          <w:tcPr>
            <w:tcW w:type="dxa" w:w="1400"/>
            <w:shd w:fill="F9FAFB" w:val="clear"/>
            <w:tcMar>
              <w:top w:type="dxa" w:w="80"/>
              <w:left w:type="dxa" w:w="120"/>
              <w:bottom w:type="dxa" w:w="80"/>
              <w:right w:type="dxa" w:w="120"/>
            </w:tcMar>
          </w:tcPr>
          <w:p>
            <w:r>
              <w:rPr>
                <w:color w:val="374151"/>
                <w:sz w:val="20"/>
                <w:szCs w:val="20"/>
              </w:rPr>
              <w:t xml:space="preserve">403</w:t>
            </w:r>
          </w:p>
        </w:tc>
        <w:tc>
          <w:tcPr>
            <w:tcW w:type="dxa" w:w="2400"/>
            <w:shd w:fill="F9FAFB" w:val="clear"/>
            <w:tcMar>
              <w:top w:type="dxa" w:w="80"/>
              <w:left w:type="dxa" w:w="120"/>
              <w:bottom w:type="dxa" w:w="80"/>
              <w:right w:type="dxa" w:w="120"/>
            </w:tcMar>
          </w:tcPr>
          <w:p>
            <w:r>
              <w:rPr>
                <w:color w:val="374151"/>
                <w:sz w:val="20"/>
                <w:szCs w:val="20"/>
              </w:rPr>
              <w:t xml:space="preserve">FEATURE_NOT_AVAILABLE</w:t>
            </w:r>
          </w:p>
        </w:tc>
        <w:tc>
          <w:tcPr>
            <w:tcW w:type="dxa" w:w="5560"/>
            <w:shd w:fill="F9FAFB" w:val="clear"/>
            <w:tcMar>
              <w:top w:type="dxa" w:w="80"/>
              <w:left w:type="dxa" w:w="120"/>
              <w:bottom w:type="dxa" w:w="80"/>
              <w:right w:type="dxa" w:w="120"/>
            </w:tcMar>
          </w:tcPr>
          <w:p>
            <w:r>
              <w:rPr>
                <w:color w:val="374151"/>
                <w:sz w:val="20"/>
                <w:szCs w:val="20"/>
              </w:rPr>
              <w:t xml:space="preserve">Endpoint requires feature not enabled for this clinic type</w:t>
            </w:r>
          </w:p>
        </w:tc>
      </w:tr>
      <w:tr>
        <w:tc>
          <w:tcPr>
            <w:tcW w:type="dxa" w:w="1400"/>
            <w:shd w:fill="FFFFFF" w:val="clear"/>
            <w:tcMar>
              <w:top w:type="dxa" w:w="80"/>
              <w:left w:type="dxa" w:w="120"/>
              <w:bottom w:type="dxa" w:w="80"/>
              <w:right w:type="dxa" w:w="120"/>
            </w:tcMar>
          </w:tcPr>
          <w:p>
            <w:r>
              <w:rPr>
                <w:color w:val="374151"/>
                <w:sz w:val="20"/>
                <w:szCs w:val="20"/>
              </w:rPr>
              <w:t xml:space="preserve">404</w:t>
            </w:r>
          </w:p>
        </w:tc>
        <w:tc>
          <w:tcPr>
            <w:tcW w:type="dxa" w:w="2400"/>
            <w:shd w:fill="FFFFFF" w:val="clear"/>
            <w:tcMar>
              <w:top w:type="dxa" w:w="80"/>
              <w:left w:type="dxa" w:w="120"/>
              <w:bottom w:type="dxa" w:w="80"/>
              <w:right w:type="dxa" w:w="120"/>
            </w:tcMar>
          </w:tcPr>
          <w:p>
            <w:r>
              <w:rPr>
                <w:color w:val="374151"/>
                <w:sz w:val="20"/>
                <w:szCs w:val="20"/>
              </w:rPr>
              <w:t xml:space="preserve">RESOURCE_NOT_FOUND</w:t>
            </w:r>
          </w:p>
        </w:tc>
        <w:tc>
          <w:tcPr>
            <w:tcW w:type="dxa" w:w="5560"/>
            <w:shd w:fill="FFFFFF" w:val="clear"/>
            <w:tcMar>
              <w:top w:type="dxa" w:w="80"/>
              <w:left w:type="dxa" w:w="120"/>
              <w:bottom w:type="dxa" w:w="80"/>
              <w:right w:type="dxa" w:w="120"/>
            </w:tcMar>
          </w:tcPr>
          <w:p>
            <w:r>
              <w:rPr>
                <w:color w:val="374151"/>
                <w:sz w:val="20"/>
                <w:szCs w:val="20"/>
              </w:rPr>
              <w:t xml:space="preserve">Requested record does not exist or not in this clinic</w:t>
            </w:r>
          </w:p>
        </w:tc>
      </w:tr>
      <w:tr>
        <w:tc>
          <w:tcPr>
            <w:tcW w:type="dxa" w:w="1400"/>
            <w:shd w:fill="F9FAFB" w:val="clear"/>
            <w:tcMar>
              <w:top w:type="dxa" w:w="80"/>
              <w:left w:type="dxa" w:w="120"/>
              <w:bottom w:type="dxa" w:w="80"/>
              <w:right w:type="dxa" w:w="120"/>
            </w:tcMar>
          </w:tcPr>
          <w:p>
            <w:r>
              <w:rPr>
                <w:color w:val="374151"/>
                <w:sz w:val="20"/>
                <w:szCs w:val="20"/>
              </w:rPr>
              <w:t xml:space="preserve">409</w:t>
            </w:r>
          </w:p>
        </w:tc>
        <w:tc>
          <w:tcPr>
            <w:tcW w:type="dxa" w:w="2400"/>
            <w:shd w:fill="F9FAFB" w:val="clear"/>
            <w:tcMar>
              <w:top w:type="dxa" w:w="80"/>
              <w:left w:type="dxa" w:w="120"/>
              <w:bottom w:type="dxa" w:w="80"/>
              <w:right w:type="dxa" w:w="120"/>
            </w:tcMar>
          </w:tcPr>
          <w:p>
            <w:r>
              <w:rPr>
                <w:color w:val="374151"/>
                <w:sz w:val="20"/>
                <w:szCs w:val="20"/>
              </w:rPr>
              <w:t xml:space="preserve">CONFLICT</w:t>
            </w:r>
          </w:p>
        </w:tc>
        <w:tc>
          <w:tcPr>
            <w:tcW w:type="dxa" w:w="5560"/>
            <w:shd w:fill="F9FAFB" w:val="clear"/>
            <w:tcMar>
              <w:top w:type="dxa" w:w="80"/>
              <w:left w:type="dxa" w:w="120"/>
              <w:bottom w:type="dxa" w:w="80"/>
              <w:right w:type="dxa" w:w="120"/>
            </w:tcMar>
          </w:tcPr>
          <w:p>
            <w:r>
              <w:rPr>
                <w:color w:val="374151"/>
                <w:sz w:val="20"/>
                <w:szCs w:val="20"/>
              </w:rPr>
              <w:t xml:space="preserve">State conflict (already paid, already in queue, slot taken)</w:t>
            </w:r>
          </w:p>
        </w:tc>
      </w:tr>
      <w:tr>
        <w:tc>
          <w:tcPr>
            <w:tcW w:type="dxa" w:w="1400"/>
            <w:shd w:fill="FFFFFF" w:val="clear"/>
            <w:tcMar>
              <w:top w:type="dxa" w:w="80"/>
              <w:left w:type="dxa" w:w="120"/>
              <w:bottom w:type="dxa" w:w="80"/>
              <w:right w:type="dxa" w:w="120"/>
            </w:tcMar>
          </w:tcPr>
          <w:p>
            <w:r>
              <w:rPr>
                <w:color w:val="374151"/>
                <w:sz w:val="20"/>
                <w:szCs w:val="20"/>
              </w:rPr>
              <w:t xml:space="preserve">410</w:t>
            </w:r>
          </w:p>
        </w:tc>
        <w:tc>
          <w:tcPr>
            <w:tcW w:type="dxa" w:w="2400"/>
            <w:shd w:fill="FFFFFF" w:val="clear"/>
            <w:tcMar>
              <w:top w:type="dxa" w:w="80"/>
              <w:left w:type="dxa" w:w="120"/>
              <w:bottom w:type="dxa" w:w="80"/>
              <w:right w:type="dxa" w:w="120"/>
            </w:tcMar>
          </w:tcPr>
          <w:p>
            <w:r>
              <w:rPr>
                <w:color w:val="374151"/>
                <w:sz w:val="20"/>
                <w:szCs w:val="20"/>
              </w:rPr>
              <w:t xml:space="preserve">EXPIRED</w:t>
            </w:r>
          </w:p>
        </w:tc>
        <w:tc>
          <w:tcPr>
            <w:tcW w:type="dxa" w:w="5560"/>
            <w:shd w:fill="FFFFFF" w:val="clear"/>
            <w:tcMar>
              <w:top w:type="dxa" w:w="80"/>
              <w:left w:type="dxa" w:w="120"/>
              <w:bottom w:type="dxa" w:w="80"/>
              <w:right w:type="dxa" w:w="120"/>
            </w:tcMar>
          </w:tcPr>
          <w:p>
            <w:r>
              <w:rPr>
                <w:color w:val="374151"/>
                <w:sz w:val="20"/>
                <w:szCs w:val="20"/>
              </w:rPr>
              <w:t xml:space="preserve">Queue token or referral code has expired</w:t>
            </w:r>
          </w:p>
        </w:tc>
      </w:tr>
      <w:tr>
        <w:tc>
          <w:tcPr>
            <w:tcW w:type="dxa" w:w="1400"/>
            <w:shd w:fill="F9FAFB" w:val="clear"/>
            <w:tcMar>
              <w:top w:type="dxa" w:w="80"/>
              <w:left w:type="dxa" w:w="120"/>
              <w:bottom w:type="dxa" w:w="80"/>
              <w:right w:type="dxa" w:w="120"/>
            </w:tcMar>
          </w:tcPr>
          <w:p>
            <w:r>
              <w:rPr>
                <w:color w:val="374151"/>
                <w:sz w:val="20"/>
                <w:szCs w:val="20"/>
              </w:rPr>
              <w:t xml:space="preserve">422</w:t>
            </w:r>
          </w:p>
        </w:tc>
        <w:tc>
          <w:tcPr>
            <w:tcW w:type="dxa" w:w="2400"/>
            <w:shd w:fill="F9FAFB" w:val="clear"/>
            <w:tcMar>
              <w:top w:type="dxa" w:w="80"/>
              <w:left w:type="dxa" w:w="120"/>
              <w:bottom w:type="dxa" w:w="80"/>
              <w:right w:type="dxa" w:w="120"/>
            </w:tcMar>
          </w:tcPr>
          <w:p>
            <w:r>
              <w:rPr>
                <w:color w:val="374151"/>
                <w:sz w:val="20"/>
                <w:szCs w:val="20"/>
              </w:rPr>
              <w:t xml:space="preserve">VALIDATION_ERROR</w:t>
            </w:r>
          </w:p>
        </w:tc>
        <w:tc>
          <w:tcPr>
            <w:tcW w:type="dxa" w:w="5560"/>
            <w:shd w:fill="F9FAFB" w:val="clear"/>
            <w:tcMar>
              <w:top w:type="dxa" w:w="80"/>
              <w:left w:type="dxa" w:w="120"/>
              <w:bottom w:type="dxa" w:w="80"/>
              <w:right w:type="dxa" w:w="120"/>
            </w:tcMar>
          </w:tcPr>
          <w:p>
            <w:r>
              <w:rPr>
                <w:color w:val="374151"/>
                <w:sz w:val="20"/>
                <w:szCs w:val="20"/>
              </w:rPr>
              <w:t xml:space="preserve">Request body fails validation rules</w:t>
            </w:r>
          </w:p>
        </w:tc>
      </w:tr>
      <w:tr>
        <w:tc>
          <w:tcPr>
            <w:tcW w:type="dxa" w:w="1400"/>
            <w:shd w:fill="FFFFFF" w:val="clear"/>
            <w:tcMar>
              <w:top w:type="dxa" w:w="80"/>
              <w:left w:type="dxa" w:w="120"/>
              <w:bottom w:type="dxa" w:w="80"/>
              <w:right w:type="dxa" w:w="120"/>
            </w:tcMar>
          </w:tcPr>
          <w:p>
            <w:r>
              <w:rPr>
                <w:color w:val="374151"/>
                <w:sz w:val="20"/>
                <w:szCs w:val="20"/>
              </w:rPr>
              <w:t xml:space="preserve">429</w:t>
            </w:r>
          </w:p>
        </w:tc>
        <w:tc>
          <w:tcPr>
            <w:tcW w:type="dxa" w:w="2400"/>
            <w:shd w:fill="FFFFFF" w:val="clear"/>
            <w:tcMar>
              <w:top w:type="dxa" w:w="80"/>
              <w:left w:type="dxa" w:w="120"/>
              <w:bottom w:type="dxa" w:w="80"/>
              <w:right w:type="dxa" w:w="120"/>
            </w:tcMar>
          </w:tcPr>
          <w:p>
            <w:r>
              <w:rPr>
                <w:color w:val="374151"/>
                <w:sz w:val="20"/>
                <w:szCs w:val="20"/>
              </w:rPr>
              <w:t xml:space="preserve">RATE_LIMIT_EXCEEDED</w:t>
            </w:r>
          </w:p>
        </w:tc>
        <w:tc>
          <w:tcPr>
            <w:tcW w:type="dxa" w:w="5560"/>
            <w:shd w:fill="FFFFFF" w:val="clear"/>
            <w:tcMar>
              <w:top w:type="dxa" w:w="80"/>
              <w:left w:type="dxa" w:w="120"/>
              <w:bottom w:type="dxa" w:w="80"/>
              <w:right w:type="dxa" w:w="120"/>
            </w:tcMar>
          </w:tcPr>
          <w:p>
            <w:r>
              <w:rPr>
                <w:color w:val="374151"/>
                <w:sz w:val="20"/>
                <w:szCs w:val="20"/>
              </w:rPr>
              <w:t xml:space="preserve">Too many requests in time window</w:t>
            </w:r>
          </w:p>
        </w:tc>
      </w:tr>
      <w:tr>
        <w:tc>
          <w:tcPr>
            <w:tcW w:type="dxa" w:w="1400"/>
            <w:shd w:fill="F9FAFB" w:val="clear"/>
            <w:tcMar>
              <w:top w:type="dxa" w:w="80"/>
              <w:left w:type="dxa" w:w="120"/>
              <w:bottom w:type="dxa" w:w="80"/>
              <w:right w:type="dxa" w:w="120"/>
            </w:tcMar>
          </w:tcPr>
          <w:p>
            <w:r>
              <w:rPr>
                <w:color w:val="374151"/>
                <w:sz w:val="20"/>
                <w:szCs w:val="20"/>
              </w:rPr>
              <w:t xml:space="preserve">503</w:t>
            </w:r>
          </w:p>
        </w:tc>
        <w:tc>
          <w:tcPr>
            <w:tcW w:type="dxa" w:w="2400"/>
            <w:shd w:fill="F9FAFB" w:val="clear"/>
            <w:tcMar>
              <w:top w:type="dxa" w:w="80"/>
              <w:left w:type="dxa" w:w="120"/>
              <w:bottom w:type="dxa" w:w="80"/>
              <w:right w:type="dxa" w:w="120"/>
            </w:tcMar>
          </w:tcPr>
          <w:p>
            <w:r>
              <w:rPr>
                <w:color w:val="374151"/>
                <w:sz w:val="20"/>
                <w:szCs w:val="20"/>
              </w:rPr>
              <w:t xml:space="preserve">AI_UNAVAILABLE</w:t>
            </w:r>
          </w:p>
        </w:tc>
        <w:tc>
          <w:tcPr>
            <w:tcW w:type="dxa" w:w="5560"/>
            <w:shd w:fill="F9FAFB" w:val="clear"/>
            <w:tcMar>
              <w:top w:type="dxa" w:w="80"/>
              <w:left w:type="dxa" w:w="120"/>
              <w:bottom w:type="dxa" w:w="80"/>
              <w:right w:type="dxa" w:w="120"/>
            </w:tcMar>
          </w:tcPr>
          <w:p>
            <w:r>
              <w:rPr>
                <w:color w:val="374151"/>
                <w:sz w:val="20"/>
                <w:szCs w:val="20"/>
              </w:rPr>
              <w:t xml:space="preserve">Gemini Flash API did not respond</w:t>
            </w:r>
          </w:p>
        </w:tc>
      </w:tr>
    </w:tbl>
    <w:p>
      <w:pPr>
        <w:spacing w:after="80"/>
      </w:pPr>
    </w:p>
    <w:p>
      <w:pPr>
        <w:pStyle w:val="Heading2"/>
        <w:spacing w:after="100" w:before="320"/>
      </w:pPr>
      <w:r>
        <w:t xml:space="preserve">5.4 Feature flag middleware usage</w:t>
      </w:r>
    </w:p>
    <w:p>
      <w:pPr>
        <w:spacing w:after="120"/>
      </w:pPr>
      <w:r>
        <w:rPr>
          <w:color w:val="374151"/>
          <w:sz w:val="22"/>
          <w:szCs w:val="22"/>
        </w:rPr>
        <w:t xml:space="preserve">Endpoints that require a specific clinic type feature are decorated with the feature middleware:</w:t>
      </w:r>
    </w:p>
    <w:p>
      <w:pPr>
        <w:shd w:fill="F1F5F9" w:val="clear"/>
        <w:spacing w:after="40"/>
        <w:ind w:left="200"/>
      </w:pPr>
      <w:r>
        <w:rPr>
          <w:rFonts w:ascii="Courier New" w:cs="Courier New" w:eastAsia="Courier New" w:hAnsi="Courier New"/>
          <w:color w:val="134E4A"/>
          <w:sz w:val="19"/>
          <w:szCs w:val="19"/>
        </w:rPr>
        <w:t xml:space="preserve">Route::post('/appointments', ...)-&gt;middleware('feature:queue_appointment');</w:t>
      </w:r>
    </w:p>
    <w:p>
      <w:pPr>
        <w:shd w:fill="F1F5F9" w:val="clear"/>
        <w:spacing w:after="40"/>
        <w:ind w:left="200"/>
      </w:pPr>
      <w:r>
        <w:rPr>
          <w:rFonts w:ascii="Courier New" w:cs="Courier New" w:eastAsia="Courier New" w:hAnsi="Courier New"/>
          <w:color w:val="134E4A"/>
          <w:sz w:val="19"/>
          <w:szCs w:val="19"/>
        </w:rPr>
        <w:t xml:space="preserve">Route::post('/lab/orders', ...)-&gt;middleware('feature:lab');</w:t>
      </w:r>
    </w:p>
    <w:p>
      <w:pPr>
        <w:shd w:fill="F1F5F9" w:val="clear"/>
        <w:spacing w:after="40"/>
        <w:ind w:left="200"/>
      </w:pPr>
      <w:r>
        <w:rPr>
          <w:rFonts w:ascii="Courier New" w:cs="Courier New" w:eastAsia="Courier New" w:hAnsi="Courier New"/>
          <w:color w:val="134E4A"/>
          <w:sz w:val="19"/>
          <w:szCs w:val="19"/>
        </w:rPr>
        <w:t xml:space="preserve">Route::get('/reports/bpjs', ...)-&gt;middleware('feature:bpjs_reporting');</w:t>
      </w:r>
    </w:p>
    <w:p>
      <w:r>
        <w:br w:type="page"/>
      </w:r>
    </w:p>
    <w:p>
      <w:pPr>
        <w:pStyle w:val="Heading1"/>
        <w:pBdr>
          <w:bottom w:val="single" w:color="0D9488" w:sz="4"/>
        </w:pBdr>
        <w:spacing w:after="160" w:before="480"/>
      </w:pPr>
      <w:r>
        <w:t xml:space="preserve">6. Performance Strategy Summary</w:t>
      </w:r>
    </w:p>
    <w:p>
      <w:pPr>
        <w:spacing w:after="120"/>
      </w:pPr>
      <w:r>
        <w:rPr>
          <w:color w:val="374151"/>
          <w:sz w:val="22"/>
          <w:szCs w:val="22"/>
        </w:rPr>
        <w:t xml:space="preserve">Full performance design is in Step 4. This section summarises the key targets and strategies.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0D9488" w:val="clear"/>
            <w:tcMar>
              <w:top w:type="dxa" w:w="80"/>
              <w:left w:type="dxa" w:w="120"/>
              <w:bottom w:type="dxa" w:w="80"/>
              <w:right w:type="dxa" w:w="120"/>
            </w:tcMar>
          </w:tcPr>
          <w:p>
            <w:r>
              <w:rPr>
                <w:b/>
                <w:bCs/>
                <w:color w:val="FFFFFF"/>
                <w:sz w:val="20"/>
                <w:szCs w:val="20"/>
              </w:rPr>
              <w:t xml:space="preserve">Target</w:t>
            </w:r>
          </w:p>
        </w:tc>
        <w:tc>
          <w:tcPr>
            <w:tcW w:type="dxa" w:w="1800"/>
            <w:shd w:fill="0D9488" w:val="clear"/>
            <w:tcMar>
              <w:top w:type="dxa" w:w="80"/>
              <w:left w:type="dxa" w:w="120"/>
              <w:bottom w:type="dxa" w:w="80"/>
              <w:right w:type="dxa" w:w="120"/>
            </w:tcMar>
          </w:tcPr>
          <w:p>
            <w:r>
              <w:rPr>
                <w:b/>
                <w:bCs/>
                <w:color w:val="FFFFFF"/>
                <w:sz w:val="20"/>
                <w:szCs w:val="20"/>
              </w:rPr>
              <w:t xml:space="preserve">Value</w:t>
            </w:r>
          </w:p>
        </w:tc>
        <w:tc>
          <w:tcPr>
            <w:tcW w:type="dxa" w:w="4160"/>
            <w:shd w:fill="0D9488" w:val="clear"/>
            <w:tcMar>
              <w:top w:type="dxa" w:w="80"/>
              <w:left w:type="dxa" w:w="120"/>
              <w:bottom w:type="dxa" w:w="80"/>
              <w:right w:type="dxa" w:w="120"/>
            </w:tcMar>
          </w:tcPr>
          <w:p>
            <w:r>
              <w:rPr>
                <w:b/>
                <w:bCs/>
                <w:color w:val="FFFFFF"/>
                <w:sz w:val="20"/>
                <w:szCs w:val="20"/>
              </w:rPr>
              <w:t xml:space="preserve">Verification</w:t>
            </w:r>
          </w:p>
        </w:tc>
      </w:tr>
      <w:tr>
        <w:tc>
          <w:tcPr>
            <w:tcW w:type="dxa" w:w="2800"/>
            <w:shd w:fill="FFFFFF" w:val="clear"/>
            <w:tcMar>
              <w:top w:type="dxa" w:w="80"/>
              <w:left w:type="dxa" w:w="120"/>
              <w:bottom w:type="dxa" w:w="80"/>
              <w:right w:type="dxa" w:w="120"/>
            </w:tcMar>
          </w:tcPr>
          <w:p>
            <w:r>
              <w:rPr>
                <w:color w:val="374151"/>
                <w:sz w:val="20"/>
                <w:szCs w:val="20"/>
              </w:rPr>
              <w:t xml:space="preserve">API read p95</w:t>
            </w:r>
          </w:p>
        </w:tc>
        <w:tc>
          <w:tcPr>
            <w:tcW w:type="dxa" w:w="1800"/>
            <w:shd w:fill="FFFFFF" w:val="clear"/>
            <w:tcMar>
              <w:top w:type="dxa" w:w="80"/>
              <w:left w:type="dxa" w:w="120"/>
              <w:bottom w:type="dxa" w:w="80"/>
              <w:right w:type="dxa" w:w="120"/>
            </w:tcMar>
          </w:tcPr>
          <w:p>
            <w:r>
              <w:rPr>
                <w:color w:val="374151"/>
                <w:sz w:val="20"/>
                <w:szCs w:val="20"/>
              </w:rPr>
              <w:t xml:space="preserve">&lt; 200ms</w:t>
            </w:r>
          </w:p>
        </w:tc>
        <w:tc>
          <w:tcPr>
            <w:tcW w:type="dxa" w:w="4160"/>
            <w:shd w:fill="FFFFFF" w:val="clear"/>
            <w:tcMar>
              <w:top w:type="dxa" w:w="80"/>
              <w:left w:type="dxa" w:w="120"/>
              <w:bottom w:type="dxa" w:w="80"/>
              <w:right w:type="dxa" w:w="120"/>
            </w:tcMar>
          </w:tcPr>
          <w:p>
            <w:r>
              <w:rPr>
                <w:color w:val="374151"/>
                <w:sz w:val="20"/>
                <w:szCs w:val="20"/>
              </w:rPr>
              <w:t xml:space="preserve">k6 load test Scenario 1</w:t>
            </w:r>
          </w:p>
        </w:tc>
      </w:tr>
      <w:tr>
        <w:tc>
          <w:tcPr>
            <w:tcW w:type="dxa" w:w="2800"/>
            <w:shd w:fill="F9FAFB" w:val="clear"/>
            <w:tcMar>
              <w:top w:type="dxa" w:w="80"/>
              <w:left w:type="dxa" w:w="120"/>
              <w:bottom w:type="dxa" w:w="80"/>
              <w:right w:type="dxa" w:w="120"/>
            </w:tcMar>
          </w:tcPr>
          <w:p>
            <w:r>
              <w:rPr>
                <w:color w:val="374151"/>
                <w:sz w:val="20"/>
                <w:szCs w:val="20"/>
              </w:rPr>
              <w:t xml:space="preserve">API write p99</w:t>
            </w:r>
          </w:p>
        </w:tc>
        <w:tc>
          <w:tcPr>
            <w:tcW w:type="dxa" w:w="1800"/>
            <w:shd w:fill="F9FAFB" w:val="clear"/>
            <w:tcMar>
              <w:top w:type="dxa" w:w="80"/>
              <w:left w:type="dxa" w:w="120"/>
              <w:bottom w:type="dxa" w:w="80"/>
              <w:right w:type="dxa" w:w="120"/>
            </w:tcMar>
          </w:tcPr>
          <w:p>
            <w:r>
              <w:rPr>
                <w:color w:val="374151"/>
                <w:sz w:val="20"/>
                <w:szCs w:val="20"/>
              </w:rPr>
              <w:t xml:space="preserve">&lt; 500ms</w:t>
            </w:r>
          </w:p>
        </w:tc>
        <w:tc>
          <w:tcPr>
            <w:tcW w:type="dxa" w:w="4160"/>
            <w:shd w:fill="F9FAFB" w:val="clear"/>
            <w:tcMar>
              <w:top w:type="dxa" w:w="80"/>
              <w:left w:type="dxa" w:w="120"/>
              <w:bottom w:type="dxa" w:w="80"/>
              <w:right w:type="dxa" w:w="120"/>
            </w:tcMar>
          </w:tcPr>
          <w:p>
            <w:r>
              <w:rPr>
                <w:color w:val="374151"/>
                <w:sz w:val="20"/>
                <w:szCs w:val="20"/>
              </w:rPr>
              <w:t xml:space="preserve">k6 load test Scenario 2</w:t>
            </w:r>
          </w:p>
        </w:tc>
      </w:tr>
      <w:tr>
        <w:tc>
          <w:tcPr>
            <w:tcW w:type="dxa" w:w="2800"/>
            <w:shd w:fill="FFFFFF" w:val="clear"/>
            <w:tcMar>
              <w:top w:type="dxa" w:w="80"/>
              <w:left w:type="dxa" w:w="120"/>
              <w:bottom w:type="dxa" w:w="80"/>
              <w:right w:type="dxa" w:w="120"/>
            </w:tcMar>
          </w:tcPr>
          <w:p>
            <w:r>
              <w:rPr>
                <w:color w:val="374151"/>
                <w:sz w:val="20"/>
                <w:szCs w:val="20"/>
              </w:rPr>
              <w:t xml:space="preserve">WebSocket event propagation p95</w:t>
            </w:r>
          </w:p>
        </w:tc>
        <w:tc>
          <w:tcPr>
            <w:tcW w:type="dxa" w:w="1800"/>
            <w:shd w:fill="FFFFFF" w:val="clear"/>
            <w:tcMar>
              <w:top w:type="dxa" w:w="80"/>
              <w:left w:type="dxa" w:w="120"/>
              <w:bottom w:type="dxa" w:w="80"/>
              <w:right w:type="dxa" w:w="120"/>
            </w:tcMar>
          </w:tcPr>
          <w:p>
            <w:r>
              <w:rPr>
                <w:color w:val="374151"/>
                <w:sz w:val="20"/>
                <w:szCs w:val="20"/>
              </w:rPr>
              <w:t xml:space="preserve">&lt; 500ms</w:t>
            </w:r>
          </w:p>
        </w:tc>
        <w:tc>
          <w:tcPr>
            <w:tcW w:type="dxa" w:w="4160"/>
            <w:shd w:fill="FFFFFF" w:val="clear"/>
            <w:tcMar>
              <w:top w:type="dxa" w:w="80"/>
              <w:left w:type="dxa" w:w="120"/>
              <w:bottom w:type="dxa" w:w="80"/>
              <w:right w:type="dxa" w:w="120"/>
            </w:tcMar>
          </w:tcPr>
          <w:p>
            <w:r>
              <w:rPr>
                <w:color w:val="374151"/>
                <w:sz w:val="20"/>
                <w:szCs w:val="20"/>
              </w:rPr>
              <w:t xml:space="preserve">k6 WebSocket Scenario 3</w:t>
            </w:r>
          </w:p>
        </w:tc>
      </w:tr>
      <w:tr>
        <w:tc>
          <w:tcPr>
            <w:tcW w:type="dxa" w:w="2800"/>
            <w:shd w:fill="F9FAFB" w:val="clear"/>
            <w:tcMar>
              <w:top w:type="dxa" w:w="80"/>
              <w:left w:type="dxa" w:w="120"/>
              <w:bottom w:type="dxa" w:w="80"/>
              <w:right w:type="dxa" w:w="120"/>
            </w:tcMar>
          </w:tcPr>
          <w:p>
            <w:r>
              <w:rPr>
                <w:color w:val="374151"/>
                <w:sz w:val="20"/>
                <w:szCs w:val="20"/>
              </w:rPr>
              <w:t xml:space="preserve">WA notification delivery</w:t>
            </w:r>
          </w:p>
        </w:tc>
        <w:tc>
          <w:tcPr>
            <w:tcW w:type="dxa" w:w="1800"/>
            <w:shd w:fill="F9FAFB" w:val="clear"/>
            <w:tcMar>
              <w:top w:type="dxa" w:w="80"/>
              <w:left w:type="dxa" w:w="120"/>
              <w:bottom w:type="dxa" w:w="80"/>
              <w:right w:type="dxa" w:w="120"/>
            </w:tcMar>
          </w:tcPr>
          <w:p>
            <w:r>
              <w:rPr>
                <w:color w:val="374151"/>
                <w:sz w:val="20"/>
                <w:szCs w:val="20"/>
              </w:rPr>
              <w:t xml:space="preserve">&lt; 5 seconds</w:t>
            </w:r>
          </w:p>
        </w:tc>
        <w:tc>
          <w:tcPr>
            <w:tcW w:type="dxa" w:w="4160"/>
            <w:shd w:fill="F9FAFB" w:val="clear"/>
            <w:tcMar>
              <w:top w:type="dxa" w:w="80"/>
              <w:left w:type="dxa" w:w="120"/>
              <w:bottom w:type="dxa" w:w="80"/>
              <w:right w:type="dxa" w:w="120"/>
            </w:tcMar>
          </w:tcPr>
          <w:p>
            <w:r>
              <w:rPr>
                <w:color w:val="374151"/>
                <w:sz w:val="20"/>
                <w:szCs w:val="20"/>
              </w:rPr>
              <w:t xml:space="preserve">Fonnte delivery log</w:t>
            </w:r>
          </w:p>
        </w:tc>
      </w:tr>
      <w:tr>
        <w:tc>
          <w:tcPr>
            <w:tcW w:type="dxa" w:w="2800"/>
            <w:shd w:fill="FFFFFF" w:val="clear"/>
            <w:tcMar>
              <w:top w:type="dxa" w:w="80"/>
              <w:left w:type="dxa" w:w="120"/>
              <w:bottom w:type="dxa" w:w="80"/>
              <w:right w:type="dxa" w:w="120"/>
            </w:tcMar>
          </w:tcPr>
          <w:p>
            <w:r>
              <w:rPr>
                <w:color w:val="374151"/>
                <w:sz w:val="20"/>
                <w:szCs w:val="20"/>
              </w:rPr>
              <w:t xml:space="preserve">Test coverage</w:t>
            </w:r>
          </w:p>
        </w:tc>
        <w:tc>
          <w:tcPr>
            <w:tcW w:type="dxa" w:w="1800"/>
            <w:shd w:fill="FFFFFF" w:val="clear"/>
            <w:tcMar>
              <w:top w:type="dxa" w:w="80"/>
              <w:left w:type="dxa" w:w="120"/>
              <w:bottom w:type="dxa" w:w="80"/>
              <w:right w:type="dxa" w:w="120"/>
            </w:tcMar>
          </w:tcPr>
          <w:p>
            <w:r>
              <w:rPr>
                <w:color w:val="374151"/>
                <w:sz w:val="20"/>
                <w:szCs w:val="20"/>
              </w:rPr>
              <w:t xml:space="preserve">&gt;= 70%</w:t>
            </w:r>
          </w:p>
        </w:tc>
        <w:tc>
          <w:tcPr>
            <w:tcW w:type="dxa" w:w="4160"/>
            <w:shd w:fill="FFFFFF" w:val="clear"/>
            <w:tcMar>
              <w:top w:type="dxa" w:w="80"/>
              <w:left w:type="dxa" w:w="120"/>
              <w:bottom w:type="dxa" w:w="80"/>
              <w:right w:type="dxa" w:w="120"/>
            </w:tcMar>
          </w:tcPr>
          <w:p>
            <w:r>
              <w:rPr>
                <w:color w:val="374151"/>
                <w:sz w:val="20"/>
                <w:szCs w:val="20"/>
              </w:rPr>
              <w:t xml:space="preserve">GitHub Actions CI report</w:t>
            </w:r>
          </w:p>
        </w:tc>
      </w:tr>
      <w:tr>
        <w:tc>
          <w:tcPr>
            <w:tcW w:type="dxa" w:w="2800"/>
            <w:shd w:fill="F9FAFB" w:val="clear"/>
            <w:tcMar>
              <w:top w:type="dxa" w:w="80"/>
              <w:left w:type="dxa" w:w="120"/>
              <w:bottom w:type="dxa" w:w="80"/>
              <w:right w:type="dxa" w:w="120"/>
            </w:tcMar>
          </w:tcPr>
          <w:p>
            <w:r>
              <w:rPr>
                <w:color w:val="374151"/>
                <w:sz w:val="20"/>
                <w:szCs w:val="20"/>
              </w:rPr>
              <w:t xml:space="preserve">CI/CD pipeline</w:t>
            </w:r>
          </w:p>
        </w:tc>
        <w:tc>
          <w:tcPr>
            <w:tcW w:type="dxa" w:w="1800"/>
            <w:shd w:fill="F9FAFB" w:val="clear"/>
            <w:tcMar>
              <w:top w:type="dxa" w:w="80"/>
              <w:left w:type="dxa" w:w="120"/>
              <w:bottom w:type="dxa" w:w="80"/>
              <w:right w:type="dxa" w:w="120"/>
            </w:tcMar>
          </w:tcPr>
          <w:p>
            <w:r>
              <w:rPr>
                <w:color w:val="374151"/>
                <w:sz w:val="20"/>
                <w:szCs w:val="20"/>
              </w:rPr>
              <w:t xml:space="preserve">&lt; 5 minutes</w:t>
            </w:r>
          </w:p>
        </w:tc>
        <w:tc>
          <w:tcPr>
            <w:tcW w:type="dxa" w:w="4160"/>
            <w:shd w:fill="F9FAFB" w:val="clear"/>
            <w:tcMar>
              <w:top w:type="dxa" w:w="80"/>
              <w:left w:type="dxa" w:w="120"/>
              <w:bottom w:type="dxa" w:w="80"/>
              <w:right w:type="dxa" w:w="120"/>
            </w:tcMar>
          </w:tcPr>
          <w:p>
            <w:r>
              <w:rPr>
                <w:color w:val="374151"/>
                <w:sz w:val="20"/>
                <w:szCs w:val="20"/>
              </w:rPr>
              <w:t xml:space="preserve">GitHub Actions log</w:t>
            </w:r>
          </w:p>
        </w:tc>
      </w:tr>
      <w:tr>
        <w:tc>
          <w:tcPr>
            <w:tcW w:type="dxa" w:w="2800"/>
            <w:shd w:fill="FFFFFF" w:val="clear"/>
            <w:tcMar>
              <w:top w:type="dxa" w:w="80"/>
              <w:left w:type="dxa" w:w="120"/>
              <w:bottom w:type="dxa" w:w="80"/>
              <w:right w:type="dxa" w:w="120"/>
            </w:tcMar>
          </w:tcPr>
          <w:p>
            <w:r>
              <w:rPr>
                <w:color w:val="374151"/>
                <w:sz w:val="20"/>
                <w:szCs w:val="20"/>
              </w:rPr>
              <w:t xml:space="preserve">Concurrent users per clinic</w:t>
            </w:r>
          </w:p>
        </w:tc>
        <w:tc>
          <w:tcPr>
            <w:tcW w:type="dxa" w:w="1800"/>
            <w:shd w:fill="FFFFFF" w:val="clear"/>
            <w:tcMar>
              <w:top w:type="dxa" w:w="80"/>
              <w:left w:type="dxa" w:w="120"/>
              <w:bottom w:type="dxa" w:w="80"/>
              <w:right w:type="dxa" w:w="120"/>
            </w:tcMar>
          </w:tcPr>
          <w:p>
            <w:r>
              <w:rPr>
                <w:color w:val="374151"/>
                <w:sz w:val="20"/>
                <w:szCs w:val="20"/>
              </w:rPr>
              <w:t xml:space="preserve">50</w:t>
            </w:r>
          </w:p>
        </w:tc>
        <w:tc>
          <w:tcPr>
            <w:tcW w:type="dxa" w:w="4160"/>
            <w:shd w:fill="FFFFFF" w:val="clear"/>
            <w:tcMar>
              <w:top w:type="dxa" w:w="80"/>
              <w:left w:type="dxa" w:w="120"/>
              <w:bottom w:type="dxa" w:w="80"/>
              <w:right w:type="dxa" w:w="120"/>
            </w:tcMar>
          </w:tcPr>
          <w:p>
            <w:r>
              <w:rPr>
                <w:color w:val="374151"/>
                <w:sz w:val="20"/>
                <w:szCs w:val="20"/>
              </w:rPr>
              <w:t xml:space="preserve">k6 Scenario 5 (mixed)</w:t>
            </w:r>
          </w:p>
        </w:tc>
      </w:tr>
    </w:tbl>
    <w:p>
      <w:pPr>
        <w:spacing w:after="80"/>
      </w:pPr>
    </w:p>
    <w:p>
      <w:pPr>
        <w:spacing w:after="120"/>
      </w:pPr>
      <w:r>
        <w:rPr>
          <w:color w:val="374151"/>
          <w:sz w:val="22"/>
          <w:szCs w:val="22"/>
        </w:rPr>
        <w:t xml:space="preserve">Primary caching strategy: Redis L1 cache for feature flags (TTL 1h), queue snapshots (TTL 30s), ICD-10 search (TTL 24h), public queue status (TTL 10s), and BPJS reports (TTL 1h). See Step 4 for full TTL table.</w:t>
      </w:r>
    </w:p>
    <w:p>
      <w:r>
        <w:br w:type="page"/>
      </w:r>
    </w:p>
    <w:p>
      <w:pPr>
        <w:pStyle w:val="Heading1"/>
        <w:pBdr>
          <w:bottom w:val="single" w:color="0D9488" w:sz="4"/>
        </w:pBdr>
        <w:spacing w:after="160" w:before="480"/>
      </w:pPr>
      <w:r>
        <w:t xml:space="preserve">7. Security Design</w:t>
      </w:r>
    </w:p>
    <w:p>
      <w:pPr>
        <w:pStyle w:val="Heading2"/>
        <w:spacing w:after="100" w:before="320"/>
      </w:pPr>
      <w:r>
        <w:t xml:space="preserve">7.1 Authentication</w:t>
      </w:r>
    </w:p>
    <w:p>
      <w:pPr>
        <w:pStyle w:val="ListParagraph"/>
        <w:numPr>
          <w:ilvl w:val="0"/>
          <w:numId w:val="2"/>
        </w:numPr>
        <w:spacing w:after="60"/>
      </w:pPr>
      <w:r>
        <w:rPr>
          <w:color w:val="374151"/>
          <w:sz w:val="21"/>
          <w:szCs w:val="21"/>
        </w:rPr>
        <w:t xml:space="preserve">Web staff: Sanctum cookie-based session (HttpOnly, SameSite=Lax). CSRF protection enabled.</w:t>
      </w:r>
    </w:p>
    <w:p>
      <w:pPr>
        <w:pStyle w:val="ListParagraph"/>
        <w:numPr>
          <w:ilvl w:val="0"/>
          <w:numId w:val="2"/>
        </w:numPr>
        <w:spacing w:after="60"/>
      </w:pPr>
      <w:r>
        <w:rPr>
          <w:color w:val="374151"/>
          <w:sz w:val="21"/>
          <w:szCs w:val="21"/>
        </w:rPr>
        <w:t xml:space="preserve">Mobile staff: Sanctum API token stored in Expo SecureStore (encrypted, not AsyncStorage).</w:t>
      </w:r>
    </w:p>
    <w:p>
      <w:pPr>
        <w:pStyle w:val="ListParagraph"/>
        <w:numPr>
          <w:ilvl w:val="0"/>
          <w:numId w:val="2"/>
        </w:numPr>
        <w:spacing w:after="60"/>
      </w:pPr>
      <w:r>
        <w:rPr>
          <w:color w:val="374151"/>
          <w:sz w:val="21"/>
          <w:szCs w:val="21"/>
        </w:rPr>
        <w:t xml:space="preserve">Mobile patient: Sanctum API token via NIK+password or Google OAuth id_token verification.</w:t>
      </w:r>
    </w:p>
    <w:p>
      <w:pPr>
        <w:pStyle w:val="ListParagraph"/>
        <w:numPr>
          <w:ilvl w:val="0"/>
          <w:numId w:val="2"/>
        </w:numPr>
        <w:spacing w:after="60"/>
      </w:pPr>
      <w:r>
        <w:rPr>
          <w:color w:val="374151"/>
          <w:sz w:val="21"/>
          <w:szCs w:val="21"/>
        </w:rPr>
        <w:t xml:space="preserve">All tokens have no expiry in v1 (clinic demo context) — v2 will add token rotation.</w:t>
      </w:r>
    </w:p>
    <w:p>
      <w:pPr>
        <w:spacing w:after="80"/>
      </w:pPr>
    </w:p>
    <w:p>
      <w:pPr>
        <w:pStyle w:val="Heading2"/>
        <w:spacing w:after="100" w:before="320"/>
      </w:pPr>
      <w:r>
        <w:t xml:space="preserve">7.2 Authorisation</w:t>
      </w:r>
    </w:p>
    <w:p>
      <w:pPr>
        <w:pStyle w:val="ListParagraph"/>
        <w:numPr>
          <w:ilvl w:val="0"/>
          <w:numId w:val="2"/>
        </w:numPr>
        <w:spacing w:after="60"/>
      </w:pPr>
      <w:r>
        <w:rPr>
          <w:color w:val="374151"/>
          <w:sz w:val="21"/>
          <w:szCs w:val="21"/>
        </w:rPr>
        <w:t xml:space="preserve">Multi-tenant isolation: HasClinicScope applied at middleware level — structural, not dependent on developer discipline.</w:t>
      </w:r>
    </w:p>
    <w:p>
      <w:pPr>
        <w:pStyle w:val="ListParagraph"/>
        <w:numPr>
          <w:ilvl w:val="0"/>
          <w:numId w:val="2"/>
        </w:numPr>
        <w:spacing w:after="60"/>
      </w:pPr>
      <w:r>
        <w:rPr>
          <w:color w:val="374151"/>
          <w:sz w:val="21"/>
          <w:szCs w:val="21"/>
        </w:rPr>
        <w:t xml:space="preserve">Permission checks: PermissionService::userCan() checks Layer 3 (per-user) before Layer 2 (role) — REVOKE always wins.</w:t>
      </w:r>
    </w:p>
    <w:p>
      <w:pPr>
        <w:pStyle w:val="ListParagraph"/>
        <w:numPr>
          <w:ilvl w:val="0"/>
          <w:numId w:val="2"/>
        </w:numPr>
        <w:spacing w:after="60"/>
      </w:pPr>
      <w:r>
        <w:rPr>
          <w:color w:val="374151"/>
          <w:sz w:val="21"/>
          <w:szCs w:val="21"/>
        </w:rPr>
        <w:t xml:space="preserve">Feature flags: FeatureFlagService::check() via FeatureFlag middleware — 403 if feature not enabled for clinic type.</w:t>
      </w:r>
    </w:p>
    <w:p>
      <w:pPr>
        <w:pStyle w:val="ListParagraph"/>
        <w:numPr>
          <w:ilvl w:val="0"/>
          <w:numId w:val="2"/>
        </w:numPr>
        <w:spacing w:after="60"/>
      </w:pPr>
      <w:r>
        <w:rPr>
          <w:color w:val="374151"/>
          <w:sz w:val="21"/>
          <w:szCs w:val="21"/>
        </w:rPr>
        <w:t xml:space="preserve">Public endpoints explicitly bypass auth middleware — all others require authentication by default.</w:t>
      </w:r>
    </w:p>
    <w:p>
      <w:pPr>
        <w:spacing w:after="80"/>
      </w:pPr>
    </w:p>
    <w:p>
      <w:pPr>
        <w:pStyle w:val="Heading2"/>
        <w:spacing w:after="100" w:before="320"/>
      </w:pPr>
      <w:r>
        <w:t xml:space="preserve">7.3 Data protection</w:t>
      </w:r>
    </w:p>
    <w:p>
      <w:pPr>
        <w:pStyle w:val="ListParagraph"/>
        <w:numPr>
          <w:ilvl w:val="0"/>
          <w:numId w:val="2"/>
        </w:numPr>
        <w:spacing w:after="60"/>
      </w:pPr>
      <w:r>
        <w:rPr>
          <w:color w:val="374151"/>
          <w:sz w:val="21"/>
          <w:szCs w:val="21"/>
        </w:rPr>
        <w:t xml:space="preserve">Patient RME is access-controlled by patient_consents — a clinic can only read a patient's records if consent is granted.</w:t>
      </w:r>
    </w:p>
    <w:p>
      <w:pPr>
        <w:pStyle w:val="ListParagraph"/>
        <w:numPr>
          <w:ilvl w:val="0"/>
          <w:numId w:val="2"/>
        </w:numPr>
        <w:spacing w:after="60"/>
      </w:pPr>
      <w:r>
        <w:rPr>
          <w:color w:val="374151"/>
          <w:sz w:val="21"/>
          <w:szCs w:val="21"/>
        </w:rPr>
        <w:t xml:space="preserve">PHPStan level 8 enforced — zero type errors in CI pipeline.</w:t>
      </w:r>
    </w:p>
    <w:p>
      <w:pPr>
        <w:pStyle w:val="ListParagraph"/>
        <w:numPr>
          <w:ilvl w:val="0"/>
          <w:numId w:val="2"/>
        </w:numPr>
        <w:spacing w:after="60"/>
      </w:pPr>
      <w:r>
        <w:rPr>
          <w:color w:val="374151"/>
          <w:sz w:val="21"/>
          <w:szCs w:val="21"/>
        </w:rPr>
        <w:t xml:space="preserve">All production endpoints served over HTTPS — SSL terminated at Nginx.</w:t>
      </w:r>
    </w:p>
    <w:p>
      <w:pPr>
        <w:pStyle w:val="ListParagraph"/>
        <w:numPr>
          <w:ilvl w:val="0"/>
          <w:numId w:val="2"/>
        </w:numPr>
        <w:spacing w:after="60"/>
      </w:pPr>
      <w:r>
        <w:rPr>
          <w:color w:val="374151"/>
          <w:sz w:val="21"/>
          <w:szCs w:val="21"/>
        </w:rPr>
        <w:t xml:space="preserve">Sensitive data (tokens, passwords) never logged — Monolog configured to strip sensitive keys.</w:t>
      </w:r>
    </w:p>
    <w:p>
      <w:r>
        <w:br w:type="page"/>
      </w:r>
    </w:p>
    <w:p>
      <w:pPr>
        <w:pStyle w:val="Heading1"/>
        <w:pBdr>
          <w:bottom w:val="single" w:color="0D9488" w:sz="4"/>
        </w:pBdr>
        <w:spacing w:after="160" w:before="480"/>
      </w:pPr>
      <w:r>
        <w:t xml:space="preserve">8. Testing Strategy</w:t>
      </w:r>
    </w:p>
    <w:p>
      <w:pPr>
        <w:pStyle w:val="Heading2"/>
        <w:spacing w:after="100" w:before="320"/>
      </w:pPr>
      <w:r>
        <w:t xml:space="preserve">8.1 Backend (Pest v5)</w:t>
      </w:r>
    </w:p>
    <w:p>
      <w:pPr>
        <w:pStyle w:val="ListParagraph"/>
        <w:numPr>
          <w:ilvl w:val="0"/>
          <w:numId w:val="2"/>
        </w:numPr>
        <w:spacing w:after="60"/>
      </w:pPr>
      <w:r>
        <w:rPr>
          <w:color w:val="374151"/>
          <w:sz w:val="21"/>
          <w:szCs w:val="21"/>
        </w:rPr>
        <w:t xml:space="preserve">Unit tests: Service layer logic, algorithm correctness (queue position recalculation, ICD-10 ranking, feature flag resolution, permission resolution order).</w:t>
      </w:r>
    </w:p>
    <w:p>
      <w:pPr>
        <w:pStyle w:val="ListParagraph"/>
        <w:numPr>
          <w:ilvl w:val="0"/>
          <w:numId w:val="2"/>
        </w:numPr>
        <w:spacing w:after="60"/>
      </w:pPr>
      <w:r>
        <w:rPr>
          <w:color w:val="374151"/>
          <w:sz w:val="21"/>
          <w:szCs w:val="21"/>
        </w:rPr>
        <w:t xml:space="preserve">Feature tests: Every API endpoint — authentication, authorisation, request validation, response envelope, clinic_id scoping, feature flag enforcement.</w:t>
      </w:r>
    </w:p>
    <w:p>
      <w:pPr>
        <w:pStyle w:val="ListParagraph"/>
        <w:numPr>
          <w:ilvl w:val="0"/>
          <w:numId w:val="2"/>
        </w:numPr>
        <w:spacing w:after="60"/>
      </w:pPr>
      <w:r>
        <w:rPr>
          <w:color w:val="374151"/>
          <w:sz w:val="21"/>
          <w:szCs w:val="21"/>
        </w:rPr>
        <w:t xml:space="preserve">Factory + DatabaseTransactions for test isolation — no test pollutes another.</w:t>
      </w:r>
    </w:p>
    <w:p>
      <w:pPr>
        <w:pStyle w:val="ListParagraph"/>
        <w:numPr>
          <w:ilvl w:val="0"/>
          <w:numId w:val="2"/>
        </w:numPr>
        <w:spacing w:after="60"/>
      </w:pPr>
      <w:r>
        <w:rPr>
          <w:color w:val="374151"/>
          <w:sz w:val="21"/>
          <w:szCs w:val="21"/>
        </w:rPr>
        <w:t xml:space="preserve">Target: &gt;= 70% coverage enforced in GitHub Actions CI.</w:t>
      </w:r>
    </w:p>
    <w:p>
      <w:pPr>
        <w:spacing w:after="80"/>
      </w:pPr>
    </w:p>
    <w:p>
      <w:pPr>
        <w:pStyle w:val="Heading2"/>
        <w:spacing w:after="100" w:before="320"/>
      </w:pPr>
      <w:r>
        <w:t xml:space="preserve">8.2 Frontend (Nuxt 4)</w:t>
      </w:r>
    </w:p>
    <w:p>
      <w:pPr>
        <w:pStyle w:val="ListParagraph"/>
        <w:numPr>
          <w:ilvl w:val="0"/>
          <w:numId w:val="2"/>
        </w:numPr>
        <w:spacing w:after="60"/>
      </w:pPr>
      <w:r>
        <w:rPr>
          <w:color w:val="374151"/>
          <w:sz w:val="21"/>
          <w:szCs w:val="21"/>
        </w:rPr>
        <w:t xml:space="preserve">TypeScript strict mode — type errors caught at compile time.</w:t>
      </w:r>
    </w:p>
    <w:p>
      <w:pPr>
        <w:pStyle w:val="ListParagraph"/>
        <w:numPr>
          <w:ilvl w:val="0"/>
          <w:numId w:val="2"/>
        </w:numPr>
        <w:spacing w:after="60"/>
      </w:pPr>
      <w:r>
        <w:rPr>
          <w:color w:val="374151"/>
          <w:sz w:val="21"/>
          <w:szCs w:val="21"/>
        </w:rPr>
        <w:t xml:space="preserve">Vue type check via vue-tsc in pre-commit hook.</w:t>
      </w:r>
    </w:p>
    <w:p>
      <w:pPr>
        <w:pStyle w:val="ListParagraph"/>
        <w:numPr>
          <w:ilvl w:val="0"/>
          <w:numId w:val="2"/>
        </w:numPr>
        <w:spacing w:after="60"/>
      </w:pPr>
      <w:r>
        <w:rPr>
          <w:color w:val="374151"/>
          <w:sz w:val="21"/>
          <w:szCs w:val="21"/>
        </w:rPr>
        <w:t xml:space="preserve">ESLint with vue3-recommended ruleset.</w:t>
      </w:r>
    </w:p>
    <w:p>
      <w:pPr>
        <w:spacing w:after="80"/>
      </w:pPr>
    </w:p>
    <w:p>
      <w:pPr>
        <w:pStyle w:val="Heading2"/>
        <w:spacing w:after="100" w:before="320"/>
      </w:pPr>
      <w:r>
        <w:t xml:space="preserve">8.3 Mobile (Expo SDK 57)</w:t>
      </w:r>
    </w:p>
    <w:p>
      <w:pPr>
        <w:pStyle w:val="ListParagraph"/>
        <w:numPr>
          <w:ilvl w:val="0"/>
          <w:numId w:val="2"/>
        </w:numPr>
        <w:spacing w:after="60"/>
      </w:pPr>
      <w:r>
        <w:rPr>
          <w:color w:val="374151"/>
          <w:sz w:val="21"/>
          <w:szCs w:val="21"/>
        </w:rPr>
        <w:t xml:space="preserve">TypeScript strict mode.</w:t>
      </w:r>
    </w:p>
    <w:p>
      <w:pPr>
        <w:pStyle w:val="ListParagraph"/>
        <w:numPr>
          <w:ilvl w:val="0"/>
          <w:numId w:val="2"/>
        </w:numPr>
        <w:spacing w:after="60"/>
      </w:pPr>
      <w:r>
        <w:rPr>
          <w:color w:val="374151"/>
          <w:sz w:val="21"/>
          <w:szCs w:val="21"/>
        </w:rPr>
        <w:t xml:space="preserve">ESLint with react-native community config.</w:t>
      </w:r>
    </w:p>
    <w:p>
      <w:pPr>
        <w:spacing w:after="80"/>
      </w:pPr>
    </w:p>
    <w:p>
      <w:pPr>
        <w:pStyle w:val="Heading2"/>
        <w:spacing w:after="100" w:before="320"/>
      </w:pPr>
      <w:r>
        <w:t xml:space="preserve">8.4 Load testing (k6)</w:t>
      </w:r>
    </w:p>
    <w:p>
      <w:pPr>
        <w:pStyle w:val="ListParagraph"/>
        <w:numPr>
          <w:ilvl w:val="0"/>
          <w:numId w:val="2"/>
        </w:numPr>
        <w:spacing w:after="60"/>
      </w:pPr>
      <w:r>
        <w:rPr>
          <w:color w:val="374151"/>
          <w:sz w:val="21"/>
          <w:szCs w:val="21"/>
        </w:rPr>
        <w:t xml:space="preserve">5 scenarios defined in Step 4 — run in Phase 5 Polish.</w:t>
      </w:r>
    </w:p>
    <w:p>
      <w:pPr>
        <w:pStyle w:val="ListParagraph"/>
        <w:numPr>
          <w:ilvl w:val="0"/>
          <w:numId w:val="2"/>
        </w:numPr>
        <w:spacing w:after="60"/>
      </w:pPr>
      <w:r>
        <w:rPr>
          <w:color w:val="374151"/>
          <w:sz w:val="21"/>
          <w:szCs w:val="21"/>
        </w:rPr>
        <w:t xml:space="preserve">Results exported as JSON and summarised in README with screenshots.</w:t>
      </w:r>
    </w:p>
    <w:p>
      <w:r>
        <w:br w:type="page"/>
      </w:r>
    </w:p>
    <w:p>
      <w:pPr>
        <w:pStyle w:val="Heading1"/>
        <w:pBdr>
          <w:bottom w:val="single" w:color="0D9488" w:sz="4"/>
        </w:pBdr>
        <w:spacing w:after="160" w:before="480"/>
      </w:pPr>
      <w:r>
        <w:t xml:space="preserve">9. Deployment Architecture</w:t>
      </w:r>
    </w:p>
    <w:p>
      <w:pPr>
        <w:spacing w:after="120"/>
      </w:pPr>
      <w:r>
        <w:rPr>
          <w:color w:val="374151"/>
          <w:sz w:val="22"/>
          <w:szCs w:val="22"/>
        </w:rPr>
        <w:t xml:space="preserve">All infrastructure uses free tier services. Architecture is designed so that upgrading any component is a configuration change, not a rewrite.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0D9488" w:val="clear"/>
            <w:tcMar>
              <w:top w:type="dxa" w:w="80"/>
              <w:left w:type="dxa" w:w="120"/>
              <w:bottom w:type="dxa" w:w="80"/>
              <w:right w:type="dxa" w:w="120"/>
            </w:tcMar>
          </w:tcPr>
          <w:p>
            <w:r>
              <w:rPr>
                <w:b/>
                <w:bCs/>
                <w:color w:val="FFFFFF"/>
                <w:sz w:val="20"/>
                <w:szCs w:val="20"/>
              </w:rPr>
              <w:t xml:space="preserve">Service</w:t>
            </w:r>
          </w:p>
        </w:tc>
        <w:tc>
          <w:tcPr>
            <w:tcW w:type="dxa" w:w="1600"/>
            <w:shd w:fill="0D9488" w:val="clear"/>
            <w:tcMar>
              <w:top w:type="dxa" w:w="80"/>
              <w:left w:type="dxa" w:w="120"/>
              <w:bottom w:type="dxa" w:w="80"/>
              <w:right w:type="dxa" w:w="120"/>
            </w:tcMar>
          </w:tcPr>
          <w:p>
            <w:r>
              <w:rPr>
                <w:b/>
                <w:bCs/>
                <w:color w:val="FFFFFF"/>
                <w:sz w:val="20"/>
                <w:szCs w:val="20"/>
              </w:rPr>
              <w:t xml:space="preserve">Provider</w:t>
            </w:r>
          </w:p>
        </w:tc>
        <w:tc>
          <w:tcPr>
            <w:tcW w:type="dxa" w:w="3160"/>
            <w:shd w:fill="0D9488" w:val="clear"/>
            <w:tcMar>
              <w:top w:type="dxa" w:w="80"/>
              <w:left w:type="dxa" w:w="120"/>
              <w:bottom w:type="dxa" w:w="80"/>
              <w:right w:type="dxa" w:w="120"/>
            </w:tcMar>
          </w:tcPr>
          <w:p>
            <w:r>
              <w:rPr>
                <w:b/>
                <w:bCs/>
                <w:color w:val="FFFFFF"/>
                <w:sz w:val="20"/>
                <w:szCs w:val="20"/>
              </w:rPr>
              <w:t xml:space="preserve">Purpose</w:t>
            </w:r>
          </w:p>
        </w:tc>
        <w:tc>
          <w:tcPr>
            <w:tcW w:type="dxa" w:w="2200"/>
            <w:shd w:fill="0D9488" w:val="clear"/>
            <w:tcMar>
              <w:top w:type="dxa" w:w="80"/>
              <w:left w:type="dxa" w:w="120"/>
              <w:bottom w:type="dxa" w:w="80"/>
              <w:right w:type="dxa" w:w="120"/>
            </w:tcMar>
          </w:tcPr>
          <w:p>
            <w:r>
              <w:rPr>
                <w:b/>
                <w:bCs/>
                <w:color w:val="FFFFFF"/>
                <w:sz w:val="20"/>
                <w:szCs w:val="20"/>
              </w:rPr>
              <w:t xml:space="preserve">Free Tier Limit</w:t>
            </w:r>
          </w:p>
        </w:tc>
      </w:tr>
      <w:tr>
        <w:tc>
          <w:tcPr>
            <w:tcW w:type="dxa" w:w="1600"/>
            <w:shd w:fill="FFFFFF" w:val="clear"/>
            <w:tcMar>
              <w:top w:type="dxa" w:w="80"/>
              <w:left w:type="dxa" w:w="120"/>
              <w:bottom w:type="dxa" w:w="80"/>
              <w:right w:type="dxa" w:w="120"/>
            </w:tcMar>
          </w:tcPr>
          <w:p>
            <w:r>
              <w:rPr>
                <w:color w:val="374151"/>
                <w:sz w:val="20"/>
                <w:szCs w:val="20"/>
              </w:rPr>
              <w:t xml:space="preserve">Frontend web</w:t>
            </w:r>
          </w:p>
        </w:tc>
        <w:tc>
          <w:tcPr>
            <w:tcW w:type="dxa" w:w="1600"/>
            <w:shd w:fill="FFFFFF" w:val="clear"/>
            <w:tcMar>
              <w:top w:type="dxa" w:w="80"/>
              <w:left w:type="dxa" w:w="120"/>
              <w:bottom w:type="dxa" w:w="80"/>
              <w:right w:type="dxa" w:w="120"/>
            </w:tcMar>
          </w:tcPr>
          <w:p>
            <w:r>
              <w:rPr>
                <w:color w:val="374151"/>
                <w:sz w:val="20"/>
                <w:szCs w:val="20"/>
              </w:rPr>
              <w:t xml:space="preserve">Vercel</w:t>
            </w:r>
          </w:p>
        </w:tc>
        <w:tc>
          <w:tcPr>
            <w:tcW w:type="dxa" w:w="3160"/>
            <w:shd w:fill="FFFFFF" w:val="clear"/>
            <w:tcMar>
              <w:top w:type="dxa" w:w="80"/>
              <w:left w:type="dxa" w:w="120"/>
              <w:bottom w:type="dxa" w:w="80"/>
              <w:right w:type="dxa" w:w="120"/>
            </w:tcMar>
          </w:tcPr>
          <w:p>
            <w:r>
              <w:rPr>
                <w:color w:val="374151"/>
                <w:sz w:val="20"/>
                <w:szCs w:val="20"/>
              </w:rPr>
              <w:t xml:space="preserve">Nuxt 4 SSR + static assets</w:t>
            </w:r>
          </w:p>
        </w:tc>
        <w:tc>
          <w:tcPr>
            <w:tcW w:type="dxa" w:w="2200"/>
            <w:shd w:fill="FFFFFF" w:val="clear"/>
            <w:tcMar>
              <w:top w:type="dxa" w:w="80"/>
              <w:left w:type="dxa" w:w="120"/>
              <w:bottom w:type="dxa" w:w="80"/>
              <w:right w:type="dxa" w:w="120"/>
            </w:tcMar>
          </w:tcPr>
          <w:p>
            <w:r>
              <w:rPr>
                <w:color w:val="374151"/>
                <w:sz w:val="20"/>
                <w:szCs w:val="20"/>
              </w:rPr>
              <w:t xml:space="preserve">100GB bandwidth/month</w:t>
            </w:r>
          </w:p>
        </w:tc>
      </w:tr>
      <w:tr>
        <w:tc>
          <w:tcPr>
            <w:tcW w:type="dxa" w:w="1600"/>
            <w:shd w:fill="F9FAFB" w:val="clear"/>
            <w:tcMar>
              <w:top w:type="dxa" w:w="80"/>
              <w:left w:type="dxa" w:w="120"/>
              <w:bottom w:type="dxa" w:w="80"/>
              <w:right w:type="dxa" w:w="120"/>
            </w:tcMar>
          </w:tcPr>
          <w:p>
            <w:r>
              <w:rPr>
                <w:color w:val="374151"/>
                <w:sz w:val="20"/>
                <w:szCs w:val="20"/>
              </w:rPr>
              <w:t xml:space="preserve">API server</w:t>
            </w:r>
          </w:p>
        </w:tc>
        <w:tc>
          <w:tcPr>
            <w:tcW w:type="dxa" w:w="1600"/>
            <w:shd w:fill="F9FAFB" w:val="clear"/>
            <w:tcMar>
              <w:top w:type="dxa" w:w="80"/>
              <w:left w:type="dxa" w:w="120"/>
              <w:bottom w:type="dxa" w:w="80"/>
              <w:right w:type="dxa" w:w="120"/>
            </w:tcMar>
          </w:tcPr>
          <w:p>
            <w:r>
              <w:rPr>
                <w:color w:val="374151"/>
                <w:sz w:val="20"/>
                <w:szCs w:val="20"/>
              </w:rPr>
              <w:t xml:space="preserve">Render</w:t>
            </w:r>
          </w:p>
        </w:tc>
        <w:tc>
          <w:tcPr>
            <w:tcW w:type="dxa" w:w="3160"/>
            <w:shd w:fill="F9FAFB" w:val="clear"/>
            <w:tcMar>
              <w:top w:type="dxa" w:w="80"/>
              <w:left w:type="dxa" w:w="120"/>
              <w:bottom w:type="dxa" w:w="80"/>
              <w:right w:type="dxa" w:w="120"/>
            </w:tcMar>
          </w:tcPr>
          <w:p>
            <w:r>
              <w:rPr>
                <w:color w:val="374151"/>
                <w:sz w:val="20"/>
                <w:szCs w:val="20"/>
              </w:rPr>
              <w:t xml:space="preserve">Laravel 13 + Sanctum</w:t>
            </w:r>
          </w:p>
        </w:tc>
        <w:tc>
          <w:tcPr>
            <w:tcW w:type="dxa" w:w="2200"/>
            <w:shd w:fill="F9FAFB" w:val="clear"/>
            <w:tcMar>
              <w:top w:type="dxa" w:w="80"/>
              <w:left w:type="dxa" w:w="120"/>
              <w:bottom w:type="dxa" w:w="80"/>
              <w:right w:type="dxa" w:w="120"/>
            </w:tcMar>
          </w:tcPr>
          <w:p>
            <w:r>
              <w:rPr>
                <w:color w:val="374151"/>
                <w:sz w:val="20"/>
                <w:szCs w:val="20"/>
              </w:rPr>
              <w:t xml:space="preserve">750 hours/month, spins down after 15min idle</w:t>
            </w:r>
          </w:p>
        </w:tc>
      </w:tr>
      <w:tr>
        <w:tc>
          <w:tcPr>
            <w:tcW w:type="dxa" w:w="1600"/>
            <w:shd w:fill="FFFFFF" w:val="clear"/>
            <w:tcMar>
              <w:top w:type="dxa" w:w="80"/>
              <w:left w:type="dxa" w:w="120"/>
              <w:bottom w:type="dxa" w:w="80"/>
              <w:right w:type="dxa" w:w="120"/>
            </w:tcMar>
          </w:tcPr>
          <w:p>
            <w:r>
              <w:rPr>
                <w:color w:val="374151"/>
                <w:sz w:val="20"/>
                <w:szCs w:val="20"/>
              </w:rPr>
              <w:t xml:space="preserve">WebSocket</w:t>
            </w:r>
          </w:p>
        </w:tc>
        <w:tc>
          <w:tcPr>
            <w:tcW w:type="dxa" w:w="1600"/>
            <w:shd w:fill="FFFFFF" w:val="clear"/>
            <w:tcMar>
              <w:top w:type="dxa" w:w="80"/>
              <w:left w:type="dxa" w:w="120"/>
              <w:bottom w:type="dxa" w:w="80"/>
              <w:right w:type="dxa" w:w="120"/>
            </w:tcMar>
          </w:tcPr>
          <w:p>
            <w:r>
              <w:rPr>
                <w:color w:val="374151"/>
                <w:sz w:val="20"/>
                <w:szCs w:val="20"/>
              </w:rPr>
              <w:t xml:space="preserve">Render (separate)</w:t>
            </w:r>
          </w:p>
        </w:tc>
        <w:tc>
          <w:tcPr>
            <w:tcW w:type="dxa" w:w="3160"/>
            <w:shd w:fill="FFFFFF" w:val="clear"/>
            <w:tcMar>
              <w:top w:type="dxa" w:w="80"/>
              <w:left w:type="dxa" w:w="120"/>
              <w:bottom w:type="dxa" w:w="80"/>
              <w:right w:type="dxa" w:w="120"/>
            </w:tcMar>
          </w:tcPr>
          <w:p>
            <w:r>
              <w:rPr>
                <w:color w:val="374151"/>
                <w:sz w:val="20"/>
                <w:szCs w:val="20"/>
              </w:rPr>
              <w:t xml:space="preserve">Laravel Reverb</w:t>
            </w:r>
          </w:p>
        </w:tc>
        <w:tc>
          <w:tcPr>
            <w:tcW w:type="dxa" w:w="2200"/>
            <w:shd w:fill="FFFFFF" w:val="clear"/>
            <w:tcMar>
              <w:top w:type="dxa" w:w="80"/>
              <w:left w:type="dxa" w:w="120"/>
              <w:bottom w:type="dxa" w:w="80"/>
              <w:right w:type="dxa" w:w="120"/>
            </w:tcMar>
          </w:tcPr>
          <w:p>
            <w:r>
              <w:rPr>
                <w:color w:val="374151"/>
                <w:sz w:val="20"/>
                <w:szCs w:val="20"/>
              </w:rPr>
              <w:t xml:space="preserve">Same as API, kept alive by UptimeRobot</w:t>
            </w:r>
          </w:p>
        </w:tc>
      </w:tr>
      <w:tr>
        <w:tc>
          <w:tcPr>
            <w:tcW w:type="dxa" w:w="1600"/>
            <w:shd w:fill="F9FAFB" w:val="clear"/>
            <w:tcMar>
              <w:top w:type="dxa" w:w="80"/>
              <w:left w:type="dxa" w:w="120"/>
              <w:bottom w:type="dxa" w:w="80"/>
              <w:right w:type="dxa" w:w="120"/>
            </w:tcMar>
          </w:tcPr>
          <w:p>
            <w:r>
              <w:rPr>
                <w:color w:val="374151"/>
                <w:sz w:val="20"/>
                <w:szCs w:val="20"/>
              </w:rPr>
              <w:t xml:space="preserve">Database</w:t>
            </w:r>
          </w:p>
        </w:tc>
        <w:tc>
          <w:tcPr>
            <w:tcW w:type="dxa" w:w="1600"/>
            <w:shd w:fill="F9FAFB" w:val="clear"/>
            <w:tcMar>
              <w:top w:type="dxa" w:w="80"/>
              <w:left w:type="dxa" w:w="120"/>
              <w:bottom w:type="dxa" w:w="80"/>
              <w:right w:type="dxa" w:w="120"/>
            </w:tcMar>
          </w:tcPr>
          <w:p>
            <w:r>
              <w:rPr>
                <w:color w:val="374151"/>
                <w:sz w:val="20"/>
                <w:szCs w:val="20"/>
              </w:rPr>
              <w:t xml:space="preserve">PlanetScale</w:t>
            </w:r>
          </w:p>
        </w:tc>
        <w:tc>
          <w:tcPr>
            <w:tcW w:type="dxa" w:w="3160"/>
            <w:shd w:fill="F9FAFB" w:val="clear"/>
            <w:tcMar>
              <w:top w:type="dxa" w:w="80"/>
              <w:left w:type="dxa" w:w="120"/>
              <w:bottom w:type="dxa" w:w="80"/>
              <w:right w:type="dxa" w:w="120"/>
            </w:tcMar>
          </w:tcPr>
          <w:p>
            <w:r>
              <w:rPr>
                <w:color w:val="374151"/>
                <w:sz w:val="20"/>
                <w:szCs w:val="20"/>
              </w:rPr>
              <w:t xml:space="preserve">MySQL 9.7 LTS</w:t>
            </w:r>
          </w:p>
        </w:tc>
        <w:tc>
          <w:tcPr>
            <w:tcW w:type="dxa" w:w="2200"/>
            <w:shd w:fill="F9FAFB" w:val="clear"/>
            <w:tcMar>
              <w:top w:type="dxa" w:w="80"/>
              <w:left w:type="dxa" w:w="120"/>
              <w:bottom w:type="dxa" w:w="80"/>
              <w:right w:type="dxa" w:w="120"/>
            </w:tcMar>
          </w:tcPr>
          <w:p>
            <w:r>
              <w:rPr>
                <w:color w:val="374151"/>
                <w:sz w:val="20"/>
                <w:szCs w:val="20"/>
              </w:rPr>
              <w:t xml:space="preserve">5GB storage, 1B row reads/month</w:t>
            </w:r>
          </w:p>
        </w:tc>
      </w:tr>
      <w:tr>
        <w:tc>
          <w:tcPr>
            <w:tcW w:type="dxa" w:w="1600"/>
            <w:shd w:fill="FFFFFF" w:val="clear"/>
            <w:tcMar>
              <w:top w:type="dxa" w:w="80"/>
              <w:left w:type="dxa" w:w="120"/>
              <w:bottom w:type="dxa" w:w="80"/>
              <w:right w:type="dxa" w:w="120"/>
            </w:tcMar>
          </w:tcPr>
          <w:p>
            <w:r>
              <w:rPr>
                <w:color w:val="374151"/>
                <w:sz w:val="20"/>
                <w:szCs w:val="20"/>
              </w:rPr>
              <w:t xml:space="preserve">Cache</w:t>
            </w:r>
          </w:p>
        </w:tc>
        <w:tc>
          <w:tcPr>
            <w:tcW w:type="dxa" w:w="1600"/>
            <w:shd w:fill="FFFFFF" w:val="clear"/>
            <w:tcMar>
              <w:top w:type="dxa" w:w="80"/>
              <w:left w:type="dxa" w:w="120"/>
              <w:bottom w:type="dxa" w:w="80"/>
              <w:right w:type="dxa" w:w="120"/>
            </w:tcMar>
          </w:tcPr>
          <w:p>
            <w:r>
              <w:rPr>
                <w:color w:val="374151"/>
                <w:sz w:val="20"/>
                <w:szCs w:val="20"/>
              </w:rPr>
              <w:t xml:space="preserve">Upstash</w:t>
            </w:r>
          </w:p>
        </w:tc>
        <w:tc>
          <w:tcPr>
            <w:tcW w:type="dxa" w:w="3160"/>
            <w:shd w:fill="FFFFFF" w:val="clear"/>
            <w:tcMar>
              <w:top w:type="dxa" w:w="80"/>
              <w:left w:type="dxa" w:w="120"/>
              <w:bottom w:type="dxa" w:w="80"/>
              <w:right w:type="dxa" w:w="120"/>
            </w:tcMar>
          </w:tcPr>
          <w:p>
            <w:r>
              <w:rPr>
                <w:color w:val="374151"/>
                <w:sz w:val="20"/>
                <w:szCs w:val="20"/>
              </w:rPr>
              <w:t xml:space="preserve">Redis 8.10</w:t>
            </w:r>
          </w:p>
        </w:tc>
        <w:tc>
          <w:tcPr>
            <w:tcW w:type="dxa" w:w="2200"/>
            <w:shd w:fill="FFFFFF" w:val="clear"/>
            <w:tcMar>
              <w:top w:type="dxa" w:w="80"/>
              <w:left w:type="dxa" w:w="120"/>
              <w:bottom w:type="dxa" w:w="80"/>
              <w:right w:type="dxa" w:w="120"/>
            </w:tcMar>
          </w:tcPr>
          <w:p>
            <w:r>
              <w:rPr>
                <w:color w:val="374151"/>
                <w:sz w:val="20"/>
                <w:szCs w:val="20"/>
              </w:rPr>
              <w:t xml:space="preserve">10,000 commands/day</w:t>
            </w:r>
          </w:p>
        </w:tc>
      </w:tr>
      <w:tr>
        <w:tc>
          <w:tcPr>
            <w:tcW w:type="dxa" w:w="1600"/>
            <w:shd w:fill="F9FAFB" w:val="clear"/>
            <w:tcMar>
              <w:top w:type="dxa" w:w="80"/>
              <w:left w:type="dxa" w:w="120"/>
              <w:bottom w:type="dxa" w:w="80"/>
              <w:right w:type="dxa" w:w="120"/>
            </w:tcMar>
          </w:tcPr>
          <w:p>
            <w:r>
              <w:rPr>
                <w:color w:val="374151"/>
                <w:sz w:val="20"/>
                <w:szCs w:val="20"/>
              </w:rPr>
              <w:t xml:space="preserve">Storage</w:t>
            </w:r>
          </w:p>
        </w:tc>
        <w:tc>
          <w:tcPr>
            <w:tcW w:type="dxa" w:w="1600"/>
            <w:shd w:fill="F9FAFB" w:val="clear"/>
            <w:tcMar>
              <w:top w:type="dxa" w:w="80"/>
              <w:left w:type="dxa" w:w="120"/>
              <w:bottom w:type="dxa" w:w="80"/>
              <w:right w:type="dxa" w:w="120"/>
            </w:tcMar>
          </w:tcPr>
          <w:p>
            <w:r>
              <w:rPr>
                <w:color w:val="374151"/>
                <w:sz w:val="20"/>
                <w:szCs w:val="20"/>
              </w:rPr>
              <w:t xml:space="preserve">Cloudflare R2</w:t>
            </w:r>
          </w:p>
        </w:tc>
        <w:tc>
          <w:tcPr>
            <w:tcW w:type="dxa" w:w="3160"/>
            <w:shd w:fill="F9FAFB" w:val="clear"/>
            <w:tcMar>
              <w:top w:type="dxa" w:w="80"/>
              <w:left w:type="dxa" w:w="120"/>
              <w:bottom w:type="dxa" w:w="80"/>
              <w:right w:type="dxa" w:w="120"/>
            </w:tcMar>
          </w:tcPr>
          <w:p>
            <w:r>
              <w:rPr>
                <w:color w:val="374151"/>
                <w:sz w:val="20"/>
                <w:szCs w:val="20"/>
              </w:rPr>
              <w:t xml:space="preserve">PDFs, media</w:t>
            </w:r>
          </w:p>
        </w:tc>
        <w:tc>
          <w:tcPr>
            <w:tcW w:type="dxa" w:w="2200"/>
            <w:shd w:fill="F9FAFB" w:val="clear"/>
            <w:tcMar>
              <w:top w:type="dxa" w:w="80"/>
              <w:left w:type="dxa" w:w="120"/>
              <w:bottom w:type="dxa" w:w="80"/>
              <w:right w:type="dxa" w:w="120"/>
            </w:tcMar>
          </w:tcPr>
          <w:p>
            <w:r>
              <w:rPr>
                <w:color w:val="374151"/>
                <w:sz w:val="20"/>
                <w:szCs w:val="20"/>
              </w:rPr>
              <w:t xml:space="preserve">10GB storage, 1M Class A ops/month</w:t>
            </w:r>
          </w:p>
        </w:tc>
      </w:tr>
      <w:tr>
        <w:tc>
          <w:tcPr>
            <w:tcW w:type="dxa" w:w="1600"/>
            <w:shd w:fill="FFFFFF" w:val="clear"/>
            <w:tcMar>
              <w:top w:type="dxa" w:w="80"/>
              <w:left w:type="dxa" w:w="120"/>
              <w:bottom w:type="dxa" w:w="80"/>
              <w:right w:type="dxa" w:w="120"/>
            </w:tcMar>
          </w:tcPr>
          <w:p>
            <w:r>
              <w:rPr>
                <w:color w:val="374151"/>
                <w:sz w:val="20"/>
                <w:szCs w:val="20"/>
              </w:rPr>
              <w:t xml:space="preserve">WA</w:t>
            </w:r>
          </w:p>
        </w:tc>
        <w:tc>
          <w:tcPr>
            <w:tcW w:type="dxa" w:w="1600"/>
            <w:shd w:fill="FFFFFF" w:val="clear"/>
            <w:tcMar>
              <w:top w:type="dxa" w:w="80"/>
              <w:left w:type="dxa" w:w="120"/>
              <w:bottom w:type="dxa" w:w="80"/>
              <w:right w:type="dxa" w:w="120"/>
            </w:tcMar>
          </w:tcPr>
          <w:p>
            <w:r>
              <w:rPr>
                <w:color w:val="374151"/>
                <w:sz w:val="20"/>
                <w:szCs w:val="20"/>
              </w:rPr>
              <w:t xml:space="preserve">Fonnte</w:t>
            </w:r>
          </w:p>
        </w:tc>
        <w:tc>
          <w:tcPr>
            <w:tcW w:type="dxa" w:w="3160"/>
            <w:shd w:fill="FFFFFF" w:val="clear"/>
            <w:tcMar>
              <w:top w:type="dxa" w:w="80"/>
              <w:left w:type="dxa" w:w="120"/>
              <w:bottom w:type="dxa" w:w="80"/>
              <w:right w:type="dxa" w:w="120"/>
            </w:tcMar>
          </w:tcPr>
          <w:p>
            <w:r>
              <w:rPr>
                <w:color w:val="374151"/>
                <w:sz w:val="20"/>
                <w:szCs w:val="20"/>
              </w:rPr>
              <w:t xml:space="preserve">WhatsApp notifications</w:t>
            </w:r>
          </w:p>
        </w:tc>
        <w:tc>
          <w:tcPr>
            <w:tcW w:type="dxa" w:w="2200"/>
            <w:shd w:fill="FFFFFF" w:val="clear"/>
            <w:tcMar>
              <w:top w:type="dxa" w:w="80"/>
              <w:left w:type="dxa" w:w="120"/>
              <w:bottom w:type="dxa" w:w="80"/>
              <w:right w:type="dxa" w:w="120"/>
            </w:tcMar>
          </w:tcPr>
          <w:p>
            <w:r>
              <w:rPr>
                <w:color w:val="374151"/>
                <w:sz w:val="20"/>
                <w:szCs w:val="20"/>
              </w:rPr>
              <w:t xml:space="preserve">Demo account — limited volume</w:t>
            </w:r>
          </w:p>
        </w:tc>
      </w:tr>
      <w:tr>
        <w:tc>
          <w:tcPr>
            <w:tcW w:type="dxa" w:w="1600"/>
            <w:shd w:fill="F9FAFB" w:val="clear"/>
            <w:tcMar>
              <w:top w:type="dxa" w:w="80"/>
              <w:left w:type="dxa" w:w="120"/>
              <w:bottom w:type="dxa" w:w="80"/>
              <w:right w:type="dxa" w:w="120"/>
            </w:tcMar>
          </w:tcPr>
          <w:p>
            <w:r>
              <w:rPr>
                <w:color w:val="374151"/>
                <w:sz w:val="20"/>
                <w:szCs w:val="20"/>
              </w:rPr>
              <w:t xml:space="preserve">Monitoring</w:t>
            </w:r>
          </w:p>
        </w:tc>
        <w:tc>
          <w:tcPr>
            <w:tcW w:type="dxa" w:w="1600"/>
            <w:shd w:fill="F9FAFB" w:val="clear"/>
            <w:tcMar>
              <w:top w:type="dxa" w:w="80"/>
              <w:left w:type="dxa" w:w="120"/>
              <w:bottom w:type="dxa" w:w="80"/>
              <w:right w:type="dxa" w:w="120"/>
            </w:tcMar>
          </w:tcPr>
          <w:p>
            <w:r>
              <w:rPr>
                <w:color w:val="374151"/>
                <w:sz w:val="20"/>
                <w:szCs w:val="20"/>
              </w:rPr>
              <w:t xml:space="preserve">UptimeRobot</w:t>
            </w:r>
          </w:p>
        </w:tc>
        <w:tc>
          <w:tcPr>
            <w:tcW w:type="dxa" w:w="3160"/>
            <w:shd w:fill="F9FAFB" w:val="clear"/>
            <w:tcMar>
              <w:top w:type="dxa" w:w="80"/>
              <w:left w:type="dxa" w:w="120"/>
              <w:bottom w:type="dxa" w:w="80"/>
              <w:right w:type="dxa" w:w="120"/>
            </w:tcMar>
          </w:tcPr>
          <w:p>
            <w:r>
              <w:rPr>
                <w:color w:val="374151"/>
                <w:sz w:val="20"/>
                <w:szCs w:val="20"/>
              </w:rPr>
              <w:t xml:space="preserve">Ping /api/health every 5 min</w:t>
            </w:r>
          </w:p>
        </w:tc>
        <w:tc>
          <w:tcPr>
            <w:tcW w:type="dxa" w:w="2200"/>
            <w:shd w:fill="F9FAFB" w:val="clear"/>
            <w:tcMar>
              <w:top w:type="dxa" w:w="80"/>
              <w:left w:type="dxa" w:w="120"/>
              <w:bottom w:type="dxa" w:w="80"/>
              <w:right w:type="dxa" w:w="120"/>
            </w:tcMar>
          </w:tcPr>
          <w:p>
            <w:r>
              <w:rPr>
                <w:color w:val="374151"/>
                <w:sz w:val="20"/>
                <w:szCs w:val="20"/>
              </w:rPr>
              <w:t xml:space="preserve">Unlimited monitors (free)</w:t>
            </w:r>
          </w:p>
        </w:tc>
      </w:tr>
      <w:tr>
        <w:tc>
          <w:tcPr>
            <w:tcW w:type="dxa" w:w="1600"/>
            <w:shd w:fill="FFFFFF" w:val="clear"/>
            <w:tcMar>
              <w:top w:type="dxa" w:w="80"/>
              <w:left w:type="dxa" w:w="120"/>
              <w:bottom w:type="dxa" w:w="80"/>
              <w:right w:type="dxa" w:w="120"/>
            </w:tcMar>
          </w:tcPr>
          <w:p>
            <w:r>
              <w:rPr>
                <w:color w:val="374151"/>
                <w:sz w:val="20"/>
                <w:szCs w:val="20"/>
              </w:rPr>
              <w:t xml:space="preserve">CI/CD</w:t>
            </w:r>
          </w:p>
        </w:tc>
        <w:tc>
          <w:tcPr>
            <w:tcW w:type="dxa" w:w="1600"/>
            <w:shd w:fill="FFFFFF" w:val="clear"/>
            <w:tcMar>
              <w:top w:type="dxa" w:w="80"/>
              <w:left w:type="dxa" w:w="120"/>
              <w:bottom w:type="dxa" w:w="80"/>
              <w:right w:type="dxa" w:w="120"/>
            </w:tcMar>
          </w:tcPr>
          <w:p>
            <w:r>
              <w:rPr>
                <w:color w:val="374151"/>
                <w:sz w:val="20"/>
                <w:szCs w:val="20"/>
              </w:rPr>
              <w:t xml:space="preserve">GitHub Actions</w:t>
            </w:r>
          </w:p>
        </w:tc>
        <w:tc>
          <w:tcPr>
            <w:tcW w:type="dxa" w:w="3160"/>
            <w:shd w:fill="FFFFFF" w:val="clear"/>
            <w:tcMar>
              <w:top w:type="dxa" w:w="80"/>
              <w:left w:type="dxa" w:w="120"/>
              <w:bottom w:type="dxa" w:w="80"/>
              <w:right w:type="dxa" w:w="120"/>
            </w:tcMar>
          </w:tcPr>
          <w:p>
            <w:r>
              <w:rPr>
                <w:color w:val="374151"/>
                <w:sz w:val="20"/>
                <w:szCs w:val="20"/>
              </w:rPr>
              <w:t xml:space="preserve">Lint + test + build + deploy</w:t>
            </w:r>
          </w:p>
        </w:tc>
        <w:tc>
          <w:tcPr>
            <w:tcW w:type="dxa" w:w="2200"/>
            <w:shd w:fill="FFFFFF" w:val="clear"/>
            <w:tcMar>
              <w:top w:type="dxa" w:w="80"/>
              <w:left w:type="dxa" w:w="120"/>
              <w:bottom w:type="dxa" w:w="80"/>
              <w:right w:type="dxa" w:w="120"/>
            </w:tcMar>
          </w:tcPr>
          <w:p>
            <w:r>
              <w:rPr>
                <w:color w:val="374151"/>
                <w:sz w:val="20"/>
                <w:szCs w:val="20"/>
              </w:rPr>
              <w:t xml:space="preserve">2,000 minutes/month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FFBEB" w:val="clear"/>
            <w:tcMar>
              <w:top w:type="dxa" w:w="120"/>
              <w:left w:type="dxa" w:w="200"/>
              <w:bottom w:type="dxa" w:w="120"/>
              <w:right w:type="dxa" w:w="200"/>
            </w:tcMar>
          </w:tcPr>
          <w:p>
            <w:pPr>
              <w:spacing w:after="80"/>
            </w:pPr>
            <w:r>
              <w:rPr>
                <w:b/>
                <w:bCs/>
                <w:color w:val="134E4A"/>
                <w:sz w:val="22"/>
                <w:szCs w:val="22"/>
              </w:rPr>
              <w:t xml:space="preserve">Cold start mitigation</w:t>
            </w:r>
          </w:p>
          <w:p>
            <w:pPr>
              <w:spacing w:after="0"/>
            </w:pPr>
            <w:r>
              <w:rPr>
                <w:color w:val="374151"/>
                <w:sz w:val="22"/>
                <w:szCs w:val="22"/>
              </w:rPr>
              <w:t xml:space="preserve">Render free tier spins down services after 15 minutes of inactivity. UptimeRobot pings /api/health every 5 minutes, preventing cold starts during demo sessions. Both the API server and Reverb service have separate UptimeRobot monitors.</w:t>
            </w:r>
          </w:p>
        </w:tc>
      </w:tr>
    </w:tbl>
    <w:p>
      <w:r>
        <w:br w:type="page"/>
      </w:r>
    </w:p>
    <w:p>
      <w:pPr>
        <w:pStyle w:val="Heading1"/>
        <w:pBdr>
          <w:bottom w:val="single" w:color="0D9488" w:sz="4"/>
        </w:pBdr>
        <w:spacing w:after="160" w:before="480"/>
      </w:pPr>
      <w:r>
        <w:t xml:space="preserve">10. Definition of Done Preview</w:t>
      </w:r>
    </w:p>
    <w:p>
      <w:pPr>
        <w:spacing w:after="120"/>
      </w:pPr>
      <w:r>
        <w:rPr>
          <w:color w:val="374151"/>
          <w:sz w:val="22"/>
          <w:szCs w:val="22"/>
        </w:rPr>
        <w:t xml:space="preserve">Full Definition of Done is in Step 10. Preview of project-level criteria:</w:t>
      </w:r>
    </w:p>
    <w:p>
      <w:pPr>
        <w:spacing w:after="80"/>
      </w:pPr>
    </w:p>
    <w:p>
      <w:pPr>
        <w:pStyle w:val="ListParagraph"/>
        <w:numPr>
          <w:ilvl w:val="0"/>
          <w:numId w:val="2"/>
        </w:numPr>
        <w:spacing w:after="60"/>
      </w:pPr>
      <w:r>
        <w:rPr>
          <w:color w:val="374151"/>
          <w:sz w:val="21"/>
          <w:szCs w:val="21"/>
        </w:rPr>
        <w:t xml:space="preserve">All 70 API endpoints implemented, tested, and documented via Scribe.</w:t>
      </w:r>
    </w:p>
    <w:p>
      <w:pPr>
        <w:pStyle w:val="ListParagraph"/>
        <w:numPr>
          <w:ilvl w:val="0"/>
          <w:numId w:val="2"/>
        </w:numPr>
        <w:spacing w:after="60"/>
      </w:pPr>
      <w:r>
        <w:rPr>
          <w:color w:val="374151"/>
          <w:sz w:val="21"/>
          <w:szCs w:val="21"/>
        </w:rPr>
        <w:t xml:space="preserve">Pest v5 test coverage &gt;= 70% verified in CI.</w:t>
      </w:r>
    </w:p>
    <w:p>
      <w:pPr>
        <w:pStyle w:val="ListParagraph"/>
        <w:numPr>
          <w:ilvl w:val="0"/>
          <w:numId w:val="2"/>
        </w:numPr>
        <w:spacing w:after="60"/>
      </w:pPr>
      <w:r>
        <w:rPr>
          <w:color w:val="374151"/>
          <w:sz w:val="21"/>
          <w:szCs w:val="21"/>
        </w:rPr>
        <w:t xml:space="preserve">All 3 demo clinics (Praktek Mandiri, Klinik Pratama, Klinik Utama) fully seeded and functional.</w:t>
      </w:r>
    </w:p>
    <w:p>
      <w:pPr>
        <w:pStyle w:val="ListParagraph"/>
        <w:numPr>
          <w:ilvl w:val="0"/>
          <w:numId w:val="2"/>
        </w:numPr>
        <w:spacing w:after="60"/>
      </w:pPr>
      <w:r>
        <w:rPr>
          <w:color w:val="374151"/>
          <w:sz w:val="21"/>
          <w:szCs w:val="21"/>
        </w:rPr>
        <w:t xml:space="preserve">k6 load test results: all p95 targets met.</w:t>
      </w:r>
    </w:p>
    <w:p>
      <w:pPr>
        <w:pStyle w:val="ListParagraph"/>
        <w:numPr>
          <w:ilvl w:val="0"/>
          <w:numId w:val="2"/>
        </w:numPr>
        <w:spacing w:after="60"/>
      </w:pPr>
      <w:r>
        <w:rPr>
          <w:color w:val="374151"/>
          <w:sz w:val="21"/>
          <w:szCs w:val="21"/>
        </w:rPr>
        <w:t xml:space="preserve">GitHub Actions CI pipeline: lint + type check + test + build &lt; 5 minutes.</w:t>
      </w:r>
    </w:p>
    <w:p>
      <w:pPr>
        <w:pStyle w:val="ListParagraph"/>
        <w:numPr>
          <w:ilvl w:val="0"/>
          <w:numId w:val="2"/>
        </w:numPr>
        <w:spacing w:after="60"/>
      </w:pPr>
      <w:r>
        <w:rPr>
          <w:color w:val="374151"/>
          <w:sz w:val="21"/>
          <w:szCs w:val="21"/>
        </w:rPr>
        <w:t xml:space="preserve">Nuxt 4 web app: all role dashboards functional (Owner, Dokter, Perawat, Apoteker, Kasir, Analis Lab).</w:t>
      </w:r>
    </w:p>
    <w:p>
      <w:pPr>
        <w:pStyle w:val="ListParagraph"/>
        <w:numPr>
          <w:ilvl w:val="0"/>
          <w:numId w:val="2"/>
        </w:numPr>
        <w:spacing w:after="60"/>
      </w:pPr>
      <w:r>
        <w:rPr>
          <w:color w:val="374151"/>
          <w:sz w:val="21"/>
          <w:szCs w:val="21"/>
        </w:rPr>
        <w:t xml:space="preserve">React Native Android APK: installable via Expo EAS, staff + patient flows functional.</w:t>
      </w:r>
    </w:p>
    <w:p>
      <w:pPr>
        <w:pStyle w:val="ListParagraph"/>
        <w:numPr>
          <w:ilvl w:val="0"/>
          <w:numId w:val="2"/>
        </w:numPr>
        <w:spacing w:after="60"/>
      </w:pPr>
      <w:r>
        <w:rPr>
          <w:color w:val="374151"/>
          <w:sz w:val="21"/>
          <w:szCs w:val="21"/>
        </w:rPr>
        <w:t xml:space="preserve">README: full project description, tech stack, demo credentials, architecture diagram, CV bullets.</w:t>
      </w:r>
    </w:p>
    <w:p>
      <w:pPr>
        <w:pStyle w:val="ListParagraph"/>
        <w:numPr>
          <w:ilvl w:val="0"/>
          <w:numId w:val="2"/>
        </w:numPr>
        <w:spacing w:after="60"/>
      </w:pPr>
      <w:r>
        <w:rPr>
          <w:color w:val="374151"/>
          <w:sz w:val="21"/>
          <w:szCs w:val="21"/>
        </w:rPr>
        <w:t xml:space="preserve">All ADRs in /docs/adr/ as individual markdown files.</w:t>
      </w:r>
    </w:p>
    <w:p>
      <w:pPr>
        <w:spacing w:after="80"/>
      </w:pPr>
    </w:p>
    <w:p>
      <w:pPr>
        <w:pBdr>
          <w:top w:val="single" w:color="E5E7EB" w:sz="2"/>
        </w:pBdr>
        <w:spacing w:after="0" w:before="240"/>
        <w:jc w:val="center"/>
      </w:pPr>
      <w:r>
        <w:rPr>
          <w:color w:val="9CA3AF"/>
          <w:sz w:val="18"/>
          <w:szCs w:val="18"/>
        </w:rPr>
        <w:t xml:space="preserve">Klinikku — Step 9: TDD  ·  August 2026  ·  11 ADRs  ·  Phase 1 of 6</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Plus Jakarta Sans" w:cs="Plus Jakarta Sans" w:eastAsia="Plus Jakarta Sans" w:hAnsi="Plus Jakarta Sans"/>
      <w:b/>
      <w:bCs/>
      <w:color w:val="134E4A"/>
      <w:sz w:val="34"/>
      <w:szCs w:val="34"/>
    </w:rPr>
  </w:style>
  <w:style w:type="paragraph" w:styleId="Heading2">
    <w:name w:val="Heading 2"/>
    <w:basedOn w:val="Normal"/>
    <w:next w:val="Normal"/>
    <w:pPr>
      <w:spacing w:after="100" w:before="320"/>
      <w:outlineLvl w:val="1"/>
    </w:pPr>
    <w:rPr>
      <w:rFonts w:ascii="Plus Jakarta Sans" w:cs="Plus Jakarta Sans" w:eastAsia="Plus Jakarta Sans" w:hAnsi="Plus Jakarta Sans"/>
      <w:b/>
      <w:bCs/>
      <w:color w:val="0D9488"/>
      <w:sz w:val="26"/>
      <w:szCs w:val="26"/>
    </w:rPr>
  </w:style>
  <w:style w:type="paragraph" w:styleId="Heading3">
    <w:name w:val="Heading 3"/>
    <w:basedOn w:val="Normal"/>
    <w:next w:val="Normal"/>
    <w:pPr>
      <w:spacing w:after="60" w:before="200"/>
      <w:outlineLvl w:val="2"/>
    </w:pPr>
    <w:rPr>
      <w:rFonts w:ascii="Plus Jakarta Sans" w:cs="Plus Jakarta Sans" w:eastAsia="Plus Jakarta Sans" w:hAnsi="Plus Jakarta Sans"/>
      <w:b/>
      <w:bCs/>
      <w:color w:val="134E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2026-08-08T14:13:51.382Z</dcterms:created>
  <dcterms:modified xsi:type="dcterms:W3CDTF">2026-08-08T14:13:51.542Z</dcterms:modified>
</cp:coreProperties>
</file>

<file path=docProps/custom.xml><?xml version="1.0" encoding="utf-8"?>
<Properties xmlns="http://schemas.openxmlformats.org/officeDocument/2006/custom-properties" xmlns:vt="http://schemas.openxmlformats.org/officeDocument/2006/docPropsVTypes"/>
</file>