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0"/>
          <w:szCs w:val="40"/>
        </w:rPr>
        <w:t xml:space="preserve">Financial Projections</w:t>
      </w:r>
    </w:p>
    <w:p>
      <w:pPr>
        <w:jc w:val="center"/>
      </w:pPr>
      <w:r>
        <w:rPr>
          <w:b/>
          <w:bCs/>
          <w:sz w:val="28"/>
          <w:szCs w:val="28"/>
        </w:rPr>
        <w:t xml:space="preserve">5-Year Model (2025-2030)</w:t>
      </w:r>
    </w:p>
    <w:p>
      <w:pPr>
        <w:jc w:val="center"/>
      </w:pPr>
      <w:r>
        <w:rPr>
          <w:sz w:val="24"/>
          <w:szCs w:val="24"/>
        </w:rPr>
        <w:t xml:space="preserve">Multi-Tenant HOA Accounting System</w:t>
      </w:r>
    </w:p>
    <w:p/>
    <w:p>
      <w:pPr>
        <w:pStyle w:val="Heading1"/>
      </w:pPr>
      <w:r>
        <w:t xml:space="preserve">Summary Table (5-Year Overview)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400"/>
        <w:gridCol w:w="1200"/>
        <w:gridCol w:w="1200"/>
        <w:gridCol w:w="1200"/>
        <w:gridCol w:w="1200"/>
        <w:gridCol w:w="1200"/>
        <w:gridCol w:w="1200"/>
      </w:tblGrid>
      <w:tr>
        <w:trPr>
          <w:tblHeader/>
        </w:trPr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Metric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2025 (Y0)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2026 (Y1)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2027 (Y2)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2028 (Y3)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2029 (Y4)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2030 (Y5)</w:t>
            </w:r>
          </w:p>
        </w:tc>
      </w:tr>
      <w:tr>
        <w:tc>
          <w:p>
            <w:r>
              <w:rPr>
                <w:b/>
                <w:bCs/>
              </w:rPr>
              <w:t xml:space="preserve">ARR</w:t>
            </w:r>
          </w:p>
        </w:tc>
        <w:tc>
          <w:p>
            <w:pPr>
              <w:jc w:val="right"/>
            </w:pPr>
            <w:r>
              <w:t xml:space="preserve">$0</w:t>
            </w:r>
          </w:p>
        </w:tc>
        <w:tc>
          <w:p>
            <w:pPr>
              <w:jc w:val="right"/>
            </w:pPr>
            <w:r>
              <w:t xml:space="preserve">$200K</w:t>
            </w:r>
          </w:p>
        </w:tc>
        <w:tc>
          <w:p>
            <w:pPr>
              <w:jc w:val="right"/>
            </w:pPr>
            <w:r>
              <w:t xml:space="preserve">$600K</w:t>
            </w:r>
          </w:p>
        </w:tc>
        <w:tc>
          <w:p>
            <w:pPr>
              <w:jc w:val="right"/>
            </w:pPr>
            <w:r>
              <w:t xml:space="preserve">$1.5M</w:t>
            </w:r>
          </w:p>
        </w:tc>
        <w:tc>
          <w:p>
            <w:pPr>
              <w:jc w:val="right"/>
            </w:pPr>
            <w:r>
              <w:t xml:space="preserve">$3.2M</w:t>
            </w:r>
          </w:p>
        </w:tc>
        <w:tc>
          <w:p>
            <w:pPr>
              <w:jc w:val="right"/>
            </w:pPr>
            <w:r>
              <w:t xml:space="preserve">$5.5M</w:t>
            </w:r>
          </w:p>
        </w:tc>
      </w:tr>
      <w:tr>
        <w:tc>
          <w:p>
            <w:r>
              <w:rPr>
                <w:b/>
                <w:bCs/>
              </w:rPr>
              <w:t xml:space="preserve">Customers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40</w:t>
            </w:r>
          </w:p>
        </w:tc>
        <w:tc>
          <w:p>
            <w:pPr>
              <w:jc w:val="right"/>
            </w:pPr>
            <w:r>
              <w:t xml:space="preserve">100</w:t>
            </w:r>
          </w:p>
        </w:tc>
        <w:tc>
          <w:p>
            <w:pPr>
              <w:jc w:val="right"/>
            </w:pPr>
            <w:r>
              <w:t xml:space="preserve">225</w:t>
            </w:r>
          </w:p>
        </w:tc>
        <w:tc>
          <w:p>
            <w:pPr>
              <w:jc w:val="right"/>
            </w:pPr>
            <w:r>
              <w:t xml:space="preserve">450</w:t>
            </w:r>
          </w:p>
        </w:tc>
        <w:tc>
          <w:p>
            <w:pPr>
              <w:jc w:val="right"/>
            </w:pPr>
            <w:r>
              <w:t xml:space="preserve">780</w:t>
            </w:r>
          </w:p>
        </w:tc>
      </w:tr>
      <w:tr>
        <w:tc>
          <w:p>
            <w:r>
              <w:rPr>
                <w:b/>
                <w:bCs/>
              </w:rPr>
              <w:t xml:space="preserve">YoY Growth</w:t>
            </w:r>
          </w:p>
        </w:tc>
        <w:tc>
          <w:p>
            <w:pPr>
              <w:jc w:val="right"/>
            </w:pPr>
            <w:r>
              <w:t xml:space="preserve">-</w:t>
            </w:r>
          </w:p>
        </w:tc>
        <w:tc>
          <w:p>
            <w:pPr>
              <w:jc w:val="right"/>
            </w:pPr>
            <w:r>
              <w:t xml:space="preserve">-</w:t>
            </w:r>
          </w:p>
        </w:tc>
        <w:tc>
          <w:p>
            <w:pPr>
              <w:jc w:val="right"/>
            </w:pPr>
            <w:r>
              <w:t xml:space="preserve">200%</w:t>
            </w:r>
          </w:p>
        </w:tc>
        <w:tc>
          <w:p>
            <w:pPr>
              <w:jc w:val="right"/>
            </w:pPr>
            <w:r>
              <w:t xml:space="preserve">150%</w:t>
            </w:r>
          </w:p>
        </w:tc>
        <w:tc>
          <w:p>
            <w:pPr>
              <w:jc w:val="right"/>
            </w:pPr>
            <w:r>
              <w:t xml:space="preserve">113%</w:t>
            </w:r>
          </w:p>
        </w:tc>
        <w:tc>
          <w:p>
            <w:pPr>
              <w:jc w:val="right"/>
            </w:pPr>
            <w:r>
              <w:t xml:space="preserve">72%</w:t>
            </w:r>
          </w:p>
        </w:tc>
      </w:tr>
      <w:tr>
        <w:tc>
          <w:p>
            <w:r>
              <w:rPr>
                <w:b/>
                <w:bCs/>
              </w:rPr>
              <w:t xml:space="preserve">Headcount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12</w:t>
            </w:r>
          </w:p>
        </w:tc>
        <w:tc>
          <w:p>
            <w:pPr>
              <w:jc w:val="right"/>
            </w:pPr>
            <w:r>
              <w:t xml:space="preserve">18</w:t>
            </w:r>
          </w:p>
        </w:tc>
      </w:tr>
      <w:tr>
        <w:tc>
          <w:p>
            <w:r>
              <w:rPr>
                <w:b/>
                <w:bCs/>
              </w:rPr>
              <w:t xml:space="preserve">Monthly Burn</w:t>
            </w:r>
          </w:p>
        </w:tc>
        <w:tc>
          <w:p>
            <w:pPr>
              <w:jc w:val="right"/>
            </w:pPr>
            <w:r>
              <w:t xml:space="preserve">-$15K</w:t>
            </w:r>
          </w:p>
        </w:tc>
        <w:tc>
          <w:p>
            <w:pPr>
              <w:jc w:val="right"/>
            </w:pPr>
            <w:r>
              <w:t xml:space="preserve">-$25K</w:t>
            </w:r>
          </w:p>
        </w:tc>
        <w:tc>
          <w:p>
            <w:pPr>
              <w:jc w:val="right"/>
            </w:pPr>
            <w:r>
              <w:t xml:space="preserve">-$35K</w:t>
            </w:r>
          </w:p>
        </w:tc>
        <w:tc>
          <w:p>
            <w:pPr>
              <w:jc w:val="right"/>
            </w:pPr>
            <w:r>
              <w:t xml:space="preserve">-$50K</w:t>
            </w:r>
          </w:p>
        </w:tc>
        <w:tc>
          <w:p>
            <w:pPr>
              <w:jc w:val="right"/>
            </w:pPr>
            <w:r>
              <w:t xml:space="preserve">-$75K</w:t>
            </w:r>
          </w:p>
        </w:tc>
        <w:tc>
          <w:p>
            <w:pPr>
              <w:jc w:val="right"/>
            </w:pPr>
            <w:r>
              <w:rPr>
                <w:b/>
                <w:bCs/>
              </w:rPr>
              <w:t xml:space="preserve">$0</w:t>
            </w:r>
          </w:p>
        </w:tc>
      </w:tr>
    </w:tbl>
    <w:p/>
    <w:p>
      <w:pPr>
        <w:pStyle w:val="Heading1"/>
      </w:pPr>
      <w:r>
        <w:t xml:space="preserve">Unit Economics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000"/>
        <w:gridCol w:w="3000"/>
        <w:gridCol w:w="2360"/>
      </w:tblGrid>
      <w:tr>
        <w:trPr>
          <w:tblHeader/>
        </w:trPr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Metric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Value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Notes</w:t>
            </w:r>
          </w:p>
        </w:tc>
      </w:tr>
      <w:tr>
        <w:tc>
          <w:p>
            <w:r>
              <w:rPr>
                <w:b/>
                <w:bCs/>
              </w:rPr>
              <w:t xml:space="preserve">Average MRR per Customer</w:t>
            </w:r>
          </w:p>
        </w:tc>
        <w:tc>
          <w:p>
            <w:pPr>
              <w:jc w:val="right"/>
            </w:pPr>
            <w:r>
              <w:t xml:space="preserve">$500</w:t>
            </w:r>
          </w:p>
        </w:tc>
        <w:tc>
          <w:p>
            <w:r>
              <w:t xml:space="preserve">Blended across all tiers</w:t>
            </w:r>
          </w:p>
        </w:tc>
      </w:tr>
      <w:tr>
        <w:tc>
          <w:p>
            <w:r>
              <w:rPr>
                <w:b/>
                <w:bCs/>
              </w:rPr>
              <w:t xml:space="preserve">Customer Lifetime (years)</w:t>
            </w:r>
          </w:p>
        </w:tc>
        <w:tc>
          <w:p>
            <w:pPr>
              <w:jc w:val="right"/>
            </w:pPr>
            <w:r>
              <w:t xml:space="preserve">5 years</w:t>
            </w:r>
          </w:p>
        </w:tc>
        <w:tc>
          <w:p>
            <w:r>
              <w:t xml:space="preserve">High switching costs</w:t>
            </w:r>
          </w:p>
        </w:tc>
      </w:tr>
      <w:tr>
        <w:tc>
          <w:p>
            <w:r>
              <w:rPr>
                <w:b/>
                <w:bCs/>
              </w:rPr>
              <w:t xml:space="preserve">LTV (Lifetime Value)</w:t>
            </w:r>
          </w:p>
        </w:tc>
        <w:tc>
          <w:p>
            <w:pPr>
              <w:jc w:val="right"/>
            </w:pPr>
            <w:r>
              <w:rPr>
                <w:b/>
                <w:bCs/>
              </w:rPr>
              <w:t xml:space="preserve">$25,500</w:t>
            </w:r>
          </w:p>
        </w:tc>
        <w:tc>
          <w:p>
            <w:r>
              <w:t xml:space="preserve">$500/mo × 60 months × 85%</w:t>
            </w:r>
          </w:p>
        </w:tc>
      </w:tr>
      <w:tr>
        <w:tc>
          <w:p>
            <w:r>
              <w:rPr>
                <w:b/>
                <w:bCs/>
              </w:rPr>
              <w:t xml:space="preserve">CAC (Customer Acquisition Cost)</w:t>
            </w:r>
          </w:p>
        </w:tc>
        <w:tc>
          <w:p>
            <w:pPr>
              <w:jc w:val="right"/>
            </w:pPr>
            <w:r>
              <w:rPr>
                <w:b/>
                <w:bCs/>
              </w:rPr>
              <w:t xml:space="preserve">$3,000</w:t>
            </w:r>
          </w:p>
        </w:tc>
        <w:tc>
          <w:p>
            <w:r>
              <w:t xml:space="preserve">60-90 day sales cycle</w:t>
            </w:r>
          </w:p>
        </w:tc>
      </w:tr>
      <w:tr>
        <w:tc>
          <w:p>
            <w:r>
              <w:rPr>
                <w:b/>
                <w:bCs/>
              </w:rPr>
              <w:t xml:space="preserve">LTV/CAC Ratio</w:t>
            </w:r>
          </w:p>
        </w:tc>
        <w:tc>
          <w:p>
            <w:pPr>
              <w:jc w:val="right"/>
            </w:pPr>
            <w:r>
              <w:rPr>
                <w:b/>
                <w:bCs/>
              </w:rPr>
              <w:t xml:space="preserve">8.5x</w:t>
            </w:r>
          </w:p>
        </w:tc>
        <w:tc>
          <w:p>
            <w:r>
              <w:t xml:space="preserve">Excellent (target &gt; 3x)</w:t>
            </w:r>
          </w:p>
        </w:tc>
      </w:tr>
      <w:tr>
        <w:tc>
          <w:p>
            <w:r>
              <w:rPr>
                <w:b/>
                <w:bCs/>
              </w:rPr>
              <w:t xml:space="preserve">CAC Payback Period</w:t>
            </w:r>
          </w:p>
        </w:tc>
        <w:tc>
          <w:p>
            <w:pPr>
              <w:jc w:val="right"/>
            </w:pPr>
            <w:r>
              <w:rPr>
                <w:b/>
                <w:bCs/>
              </w:rPr>
              <w:t xml:space="preserve">7 months</w:t>
            </w:r>
          </w:p>
        </w:tc>
        <w:tc>
          <w:p>
            <w:r>
              <w:t xml:space="preserve">Industry: 12-18 months</w:t>
            </w:r>
          </w:p>
        </w:tc>
      </w:tr>
      <w:tr>
        <w:tc>
          <w:p>
            <w:r>
              <w:rPr>
                <w:b/>
                <w:bCs/>
              </w:rPr>
              <w:t xml:space="preserve">Gross Margin</w:t>
            </w:r>
          </w:p>
        </w:tc>
        <w:tc>
          <w:p>
            <w:pPr>
              <w:jc w:val="right"/>
            </w:pPr>
            <w:r>
              <w:t xml:space="preserve">85%</w:t>
            </w:r>
          </w:p>
        </w:tc>
        <w:tc>
          <w:p>
            <w:r>
              <w:t xml:space="preserve">Standard SaaS</w:t>
            </w:r>
          </w:p>
        </w:tc>
      </w:tr>
    </w:tbl>
    <w:p/>
    <w:p>
      <w:pPr>
        <w:pStyle w:val="Heading1"/>
      </w:pPr>
      <w:r>
        <w:t xml:space="preserve">Funding Requirements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000"/>
        <w:gridCol w:w="2680"/>
        <w:gridCol w:w="2680"/>
      </w:tblGrid>
      <w:tr>
        <w:trPr>
          <w:tblHeader/>
        </w:trPr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Period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Capital Required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Use</w:t>
            </w:r>
          </w:p>
        </w:tc>
      </w:tr>
      <w:tr>
        <w:tc>
          <w:p>
            <w:r>
              <w:rPr>
                <w:b/>
                <w:bCs/>
              </w:rPr>
              <w:t xml:space="preserve">Pre-Seed (Year 0-1)</w:t>
            </w:r>
          </w:p>
        </w:tc>
        <w:tc>
          <w:p>
            <w:pPr>
              <w:jc w:val="right"/>
            </w:pPr>
            <w:r>
              <w:rPr>
                <w:b/>
                <w:bCs/>
              </w:rPr>
              <w:t xml:space="preserve">$400,000</w:t>
            </w:r>
          </w:p>
        </w:tc>
        <w:tc>
          <w:p>
            <w:r>
              <w:t xml:space="preserve">MVP development, initial customers</w:t>
            </w:r>
          </w:p>
        </w:tc>
      </w:tr>
      <w:tr>
        <w:tc>
          <w:p>
            <w:r>
              <w:rPr>
                <w:b/>
                <w:bCs/>
              </w:rPr>
              <w:t xml:space="preserve">Seed (Year 2-3)</w:t>
            </w:r>
          </w:p>
        </w:tc>
        <w:tc>
          <w:p>
            <w:pPr>
              <w:jc w:val="right"/>
            </w:pPr>
            <w:r>
              <w:t xml:space="preserve">$1,000,000</w:t>
            </w:r>
          </w:p>
        </w:tc>
        <w:tc>
          <w:p>
            <w:r>
              <w:t xml:space="preserve">Scale to $1M ARR, 8-person team</w:t>
            </w:r>
          </w:p>
        </w:tc>
      </w:tr>
      <w:tr>
        <w:tc>
          <w:p>
            <w:r>
              <w:rPr>
                <w:b/>
                <w:bCs/>
              </w:rPr>
              <w:t xml:space="preserve">Series A (Year 3-4)</w:t>
            </w:r>
          </w:p>
        </w:tc>
        <w:tc>
          <w:p>
            <w:pPr>
              <w:jc w:val="right"/>
            </w:pPr>
            <w:r>
              <w:t xml:space="preserve">$2,000,000</w:t>
            </w:r>
          </w:p>
        </w:tc>
        <w:tc>
          <w:p>
            <w:r>
              <w:t xml:space="preserve">Scale to $3M ARR, profitability</w:t>
            </w:r>
          </w:p>
        </w:tc>
      </w:tr>
      <w:tr>
        <w:tc>
          <w:p>
            <w:r>
              <w:rPr>
                <w:b/>
                <w:bCs/>
              </w:rPr>
              <w:t xml:space="preserve">Total</w:t>
            </w:r>
          </w:p>
        </w:tc>
        <w:tc>
          <w:p>
            <w:pPr>
              <w:jc w:val="right"/>
            </w:pPr>
            <w:r>
              <w:rPr>
                <w:b/>
                <w:bCs/>
              </w:rPr>
              <w:t xml:space="preserve">$3,400,000</w:t>
            </w:r>
          </w:p>
        </w:tc>
        <w:tc>
          <w:p>
            <w:r>
              <w:t xml:space="preserve">Cumulative through profitability</w:t>
            </w:r>
          </w:p>
        </w:tc>
      </w:tr>
    </w:tbl>
    <w:p/>
    <w:p>
      <w:pPr>
        <w:pStyle w:val="Heading1"/>
      </w:pPr>
      <w:r>
        <w:t xml:space="preserve">Pre-Seed Round (Current Ask)</w:t>
      </w:r>
    </w:p>
    <w:p>
      <w:pPr>
        <w:pStyle w:val="Heading2"/>
      </w:pPr>
      <w:r>
        <w:t xml:space="preserve">Use of Funds: $400,000 (12-month runway)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000"/>
        <w:gridCol w:w="2180"/>
        <w:gridCol w:w="2180"/>
      </w:tblGrid>
      <w:tr>
        <w:trPr>
          <w:tblHeader/>
        </w:trPr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Category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Amount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% of Total</w:t>
            </w:r>
          </w:p>
        </w:tc>
      </w:tr>
      <w:tr>
        <w:tc>
          <w:p>
            <w:r>
              <w:t xml:space="preserve">Engineering (2 engineers × 6 months)</w:t>
            </w:r>
          </w:p>
        </w:tc>
        <w:tc>
          <w:p>
            <w:pPr>
              <w:jc w:val="right"/>
            </w:pPr>
            <w:r>
              <w:t xml:space="preserve">$180,000</w:t>
            </w:r>
          </w:p>
        </w:tc>
        <w:tc>
          <w:p>
            <w:pPr>
              <w:jc w:val="right"/>
            </w:pPr>
            <w:r>
              <w:t xml:space="preserve">45%</w:t>
            </w:r>
          </w:p>
        </w:tc>
      </w:tr>
      <w:tr>
        <w:tc>
          <w:p>
            <w:r>
              <w:t xml:space="preserve">Founder Salary (6 months)</w:t>
            </w:r>
          </w:p>
        </w:tc>
        <w:tc>
          <w:p>
            <w:pPr>
              <w:jc w:val="right"/>
            </w:pPr>
            <w:r>
              <w:t xml:space="preserve">$60,000</w:t>
            </w:r>
          </w:p>
        </w:tc>
        <w:tc>
          <w:p>
            <w:pPr>
              <w:jc w:val="right"/>
            </w:pPr>
            <w:r>
              <w:t xml:space="preserve">15%</w:t>
            </w:r>
          </w:p>
        </w:tc>
      </w:tr>
      <w:tr>
        <w:tc>
          <w:p>
            <w:r>
              <w:t xml:space="preserve">Product/Design (1 designer × 6 months)</w:t>
            </w:r>
          </w:p>
        </w:tc>
        <w:tc>
          <w:p>
            <w:pPr>
              <w:jc w:val="right"/>
            </w:pPr>
            <w:r>
              <w:t xml:space="preserve">$45,000</w:t>
            </w:r>
          </w:p>
        </w:tc>
        <w:tc>
          <w:p>
            <w:pPr>
              <w:jc w:val="right"/>
            </w:pPr>
            <w:r>
              <w:t xml:space="preserve">11%</w:t>
            </w:r>
          </w:p>
        </w:tc>
      </w:tr>
      <w:tr>
        <w:tc>
          <w:p>
            <w:r>
              <w:t xml:space="preserve">Infrastructure (AWS, Plaid, tools)</w:t>
            </w:r>
          </w:p>
        </w:tc>
        <w:tc>
          <w:p>
            <w:pPr>
              <w:jc w:val="right"/>
            </w:pPr>
            <w:r>
              <w:t xml:space="preserve">$15,000</w:t>
            </w:r>
          </w:p>
        </w:tc>
        <w:tc>
          <w:p>
            <w:pPr>
              <w:jc w:val="right"/>
            </w:pPr>
            <w:r>
              <w:t xml:space="preserve">4%</w:t>
            </w:r>
          </w:p>
        </w:tc>
      </w:tr>
      <w:tr>
        <w:tc>
          <w:p>
            <w:r>
              <w:t xml:space="preserve">Legal/Accounting</w:t>
            </w:r>
          </w:p>
        </w:tc>
        <w:tc>
          <w:p>
            <w:pPr>
              <w:jc w:val="right"/>
            </w:pPr>
            <w:r>
              <w:t xml:space="preserve">$10,000</w:t>
            </w:r>
          </w:p>
        </w:tc>
        <w:tc>
          <w:p>
            <w:pPr>
              <w:jc w:val="right"/>
            </w:pPr>
            <w:r>
              <w:t xml:space="preserve">3%</w:t>
            </w:r>
          </w:p>
        </w:tc>
      </w:tr>
      <w:tr>
        <w:tc>
          <w:p>
            <w:r>
              <w:t xml:space="preserve">Sales/Marketing</w:t>
            </w:r>
          </w:p>
        </w:tc>
        <w:tc>
          <w:p>
            <w:pPr>
              <w:jc w:val="right"/>
            </w:pPr>
            <w:r>
              <w:t xml:space="preserve">$40,000</w:t>
            </w:r>
          </w:p>
        </w:tc>
        <w:tc>
          <w:p>
            <w:pPr>
              <w:jc w:val="right"/>
            </w:pPr>
            <w:r>
              <w:t xml:space="preserve">10%</w:t>
            </w:r>
          </w:p>
        </w:tc>
      </w:tr>
      <w:tr>
        <w:tc>
          <w:p>
            <w:r>
              <w:t xml:space="preserve">Buffer/Contingency (20%)</w:t>
            </w:r>
          </w:p>
        </w:tc>
        <w:tc>
          <w:p>
            <w:pPr>
              <w:jc w:val="right"/>
            </w:pPr>
            <w:r>
              <w:t xml:space="preserve">$50,000</w:t>
            </w:r>
          </w:p>
        </w:tc>
        <w:tc>
          <w:p>
            <w:pPr>
              <w:jc w:val="right"/>
            </w:pPr>
            <w:r>
              <w:t xml:space="preserve">13%</w:t>
            </w:r>
          </w:p>
        </w:tc>
      </w:tr>
      <w:tr>
        <w:tc>
          <w:p>
            <w:r>
              <w:rPr>
                <w:b/>
                <w:bCs/>
              </w:rPr>
              <w:t xml:space="preserve">Total</w:t>
            </w:r>
          </w:p>
        </w:tc>
        <w:tc>
          <w:p>
            <w:pPr>
              <w:jc w:val="right"/>
            </w:pPr>
            <w:r>
              <w:rPr>
                <w:b/>
                <w:bCs/>
              </w:rPr>
              <w:t xml:space="preserve">$400,000</w:t>
            </w:r>
          </w:p>
        </w:tc>
        <w:tc>
          <w:p>
            <w:pPr>
              <w:jc w:val="right"/>
            </w:pPr>
            <w:r>
              <w:rPr>
                <w:b/>
                <w:bCs/>
              </w:rPr>
              <w:t xml:space="preserve">100%</w:t>
            </w:r>
          </w:p>
        </w:tc>
      </w:tr>
    </w:tbl>
    <w:p/>
    <w:p>
      <w:pPr>
        <w:pStyle w:val="Heading2"/>
      </w:pPr>
      <w:r>
        <w:t xml:space="preserve">Runway: 12 months to reach $200K ARR</w:t>
      </w:r>
    </w:p>
    <w:p/>
    <w:p>
      <w:pPr>
        <w:pStyle w:val="Heading1"/>
      </w:pPr>
      <w:r>
        <w:t xml:space="preserve">Key Assumptions</w:t>
      </w:r>
    </w:p>
    <w:p/>
    <w:p>
      <w:r>
        <w:rPr>
          <w:b/>
          <w:bCs/>
        </w:rPr>
        <w:t xml:space="preserve">Revenue Assumptions:</w:t>
      </w:r>
    </w:p>
    <w:p>
      <w:r>
        <w:t xml:space="preserve">• Average MRR per customer: $400-$600 (varies by HOA size)</w:t>
      </w:r>
    </w:p>
    <w:p>
      <w:r>
        <w:t xml:space="preserve">• Customer lifetime: 5-7 years (high switching costs)</w:t>
      </w:r>
    </w:p>
    <w:p>
      <w:r>
        <w:t xml:space="preserve">• Churn rate: 0% (Y1-2), 3-6% (Y3-5), 8-10% (steady state)</w:t>
      </w:r>
    </w:p>
    <w:p>
      <w:r>
        <w:t xml:space="preserve">• Sales cycle: 60-90 days (enterprise sales to HOA boards)</w:t>
      </w:r>
    </w:p>
    <w:p/>
    <w:p>
      <w:r>
        <w:rPr>
          <w:b/>
          <w:bCs/>
        </w:rPr>
        <w:t xml:space="preserve">Cost Assumptions:</w:t>
      </w:r>
    </w:p>
    <w:p>
      <w:r>
        <w:t xml:space="preserve">• Engineering salaries: $120K-$140K (mid-senior level)</w:t>
      </w:r>
    </w:p>
    <w:p>
      <w:r>
        <w:t xml:space="preserve">• Sales/marketing: 25-35% of revenue (Year 1-3), 15-20% (Year 4-5)</w:t>
      </w:r>
    </w:p>
    <w:p>
      <w:r>
        <w:t xml:space="preserve">• Infrastructure: $30-$50 per customer per year</w:t>
      </w:r>
    </w:p>
    <w:p>
      <w:r>
        <w:t xml:space="preserve">• Gross margin: 85% (standard SaaS benchmark)</w:t>
      </w:r>
    </w:p>
    <w:p/>
    <w:p/>
    <w:p>
      <w:pPr>
        <w:jc w:val="center"/>
      </w:pPr>
      <w:r>
        <w:rPr>
          <w:sz w:val="20"/>
          <w:szCs w:val="20"/>
        </w:rPr>
        <w:t xml:space="preserve">Last Updated: October 27, 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0"/>
        <w:szCs w:val="20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before="240" w:after="120"/>
      <w:outlineLvl w:val="0"/>
    </w:pPr>
    <w:rPr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180" w:after="100"/>
      <w:outlineLvl w:val="1"/>
    </w:pPr>
    <w:rPr>
      <w:b/>
      <w:bCs/>
      <w:color w:val="000000"/>
      <w:sz w:val="26"/>
      <w:szCs w:val="26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2025-10-28T02:17:18.454Z</dcterms:created>
  <dcterms:modified xsi:type="dcterms:W3CDTF">2025-10-28T02:17:18.498Z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