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202" w:line="259" w:lineRule="auto"/>
        <w:jc w:val="center"/>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PINE LABS LIMITED</w:t>
      </w:r>
    </w:p>
    <w:p>
      <w:pPr>
        <w:pStyle w:val="Body A"/>
        <w:spacing w:after="202" w:line="259" w:lineRule="auto"/>
        <w:ind w:left="720" w:firstLine="720"/>
        <w:rPr>
          <w:rFonts w:ascii="Times New Roman" w:cs="Times New Roman" w:hAnsi="Times New Roman" w:eastAsia="Times New Roman"/>
          <w:sz w:val="20"/>
          <w:szCs w:val="20"/>
        </w:rPr>
      </w:pPr>
      <w:r>
        <w:rPr>
          <w:rFonts w:ascii="Times New Roman" w:hAnsi="Times New Roman"/>
          <w:b w:val="1"/>
          <w:bCs w:val="1"/>
          <w:sz w:val="20"/>
          <w:szCs w:val="20"/>
          <w:rtl w:val="0"/>
          <w:lang w:val="en-US"/>
        </w:rPr>
        <w:t>CORPORATE EXPENSE PREPAID CARD APPLICATION FORM</w:t>
      </w:r>
    </w:p>
    <w:tbl>
      <w:tblPr>
        <w:tblW w:w="992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545"/>
        <w:gridCol w:w="2835"/>
        <w:gridCol w:w="1275"/>
        <w:gridCol w:w="2268"/>
      </w:tblGrid>
      <w:tr>
        <w:tblPrEx>
          <w:shd w:val="clear" w:color="auto" w:fill="cad1d7"/>
        </w:tblPrEx>
        <w:trPr>
          <w:trHeight w:val="459"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521"/>
            </w:tcMar>
            <w:vAlign w:val="top"/>
          </w:tcPr>
          <w:p>
            <w:pPr>
              <w:pStyle w:val="Table Paragraph"/>
              <w:spacing w:line="237" w:lineRule="auto"/>
              <w:ind w:left="105" w:right="441" w:firstLine="0"/>
            </w:pPr>
            <w:r>
              <w:rPr>
                <w:rFonts w:ascii="Times New Roman" w:hAnsi="Times New Roman"/>
                <w:sz w:val="20"/>
                <w:szCs w:val="20"/>
                <w:shd w:val="nil" w:color="auto" w:fill="auto"/>
                <w:rtl w:val="0"/>
                <w:lang w:val="en-US"/>
              </w:rPr>
              <w:t>Execution Date:</w:t>
            </w:r>
          </w:p>
        </w:tc>
        <w:tc>
          <w:tcPr>
            <w:tcW w:type="dxa" w:w="411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6"/>
              <w:bottom w:type="dxa" w:w="80"/>
              <w:right w:type="dxa" w:w="80"/>
            </w:tcMar>
            <w:vAlign w:val="top"/>
          </w:tcPr>
          <w:p>
            <w:pPr>
              <w:pStyle w:val="Table Paragraph"/>
              <w:spacing w:line="253" w:lineRule="exact"/>
              <w:ind w:left="116" w:firstLine="0"/>
            </w:pPr>
            <w:r>
              <w:rPr>
                <w:rFonts w:ascii="Times New Roman" w:hAnsi="Times New Roman"/>
                <w:sz w:val="20"/>
                <w:szCs w:val="20"/>
                <w:shd w:val="nil" w:color="auto" w:fill="auto"/>
                <w:rtl w:val="0"/>
                <w:lang w:val="en-US"/>
              </w:rPr>
              <w:t>Corporate Code:</w:t>
            </w:r>
          </w:p>
        </w:tc>
      </w:tr>
      <w:tr>
        <w:tblPrEx>
          <w:shd w:val="clear" w:color="auto" w:fill="cad1d7"/>
        </w:tblPrEx>
        <w:trPr>
          <w:trHeight w:val="459"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244"/>
            </w:tcMar>
            <w:vAlign w:val="top"/>
          </w:tcPr>
          <w:p>
            <w:pPr>
              <w:pStyle w:val="Table Paragraph"/>
              <w:spacing w:line="237" w:lineRule="auto"/>
              <w:ind w:left="105" w:right="164" w:firstLine="0"/>
            </w:pPr>
            <w:r>
              <w:rPr>
                <w:rFonts w:ascii="Times New Roman" w:hAnsi="Times New Roman"/>
                <w:sz w:val="20"/>
                <w:szCs w:val="20"/>
                <w:shd w:val="nil" w:color="auto" w:fill="auto"/>
                <w:rtl w:val="0"/>
                <w:lang w:val="en-US"/>
              </w:rPr>
              <w:t>Name of the Entity</w:t>
            </w:r>
          </w:p>
        </w:tc>
        <w:tc>
          <w:tcPr>
            <w:tcW w:type="dxa" w:w="637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473"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244"/>
            </w:tcMar>
            <w:vAlign w:val="top"/>
          </w:tcPr>
          <w:p>
            <w:pPr>
              <w:pStyle w:val="Table Paragraph"/>
              <w:spacing w:line="237" w:lineRule="auto"/>
              <w:ind w:left="105" w:right="164" w:firstLine="0"/>
            </w:pPr>
            <w:r>
              <w:rPr>
                <w:rFonts w:ascii="Times New Roman" w:hAnsi="Times New Roman"/>
                <w:sz w:val="20"/>
                <w:szCs w:val="20"/>
                <w:shd w:val="nil" w:color="auto" w:fill="auto"/>
                <w:rtl w:val="0"/>
                <w:lang w:val="en-US"/>
              </w:rPr>
              <w:t>Type of Organization</w:t>
            </w:r>
          </w:p>
        </w:tc>
        <w:tc>
          <w:tcPr>
            <w:tcW w:type="dxa" w:w="637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pPr>
            <w:r>
              <w:rPr>
                <w:rFonts w:ascii="Times New Roman" w:hAnsi="Times New Roman"/>
                <w:sz w:val="20"/>
                <w:szCs w:val="20"/>
                <w:shd w:val="nil" w:color="auto" w:fill="auto"/>
                <w:rtl w:val="0"/>
                <w:lang w:val="en-US"/>
              </w:rPr>
              <w:t>Sole Proprietorship</w:t>
            </w:r>
            <w:r>
              <w:rPr>
                <w:rFonts w:ascii="Segoe UI Symbol" w:cs="Segoe UI Symbol" w:hAnsi="Segoe UI Symbol" w:eastAsia="Segoe UI Symbol"/>
                <w:sz w:val="20"/>
                <w:szCs w:val="20"/>
                <w:shd w:val="nil" w:color="auto" w:fill="auto"/>
                <w:rtl w:val="0"/>
                <w:lang w:val="en-US"/>
              </w:rPr>
              <w:t>☐</w:t>
            </w:r>
            <w:r>
              <w:rPr>
                <w:rFonts w:ascii="Times New Roman" w:hAnsi="Times New Roman"/>
                <w:sz w:val="20"/>
                <w:szCs w:val="20"/>
                <w:shd w:val="nil" w:color="auto" w:fill="auto"/>
                <w:rtl w:val="0"/>
                <w:lang w:val="en-US"/>
              </w:rPr>
              <w:t xml:space="preserve">    Partnership</w:t>
            </w:r>
            <w:r>
              <w:rPr>
                <w:rFonts w:ascii="Segoe UI Symbol" w:cs="Segoe UI Symbol" w:hAnsi="Segoe UI Symbol" w:eastAsia="Segoe UI Symbol"/>
                <w:sz w:val="20"/>
                <w:szCs w:val="20"/>
                <w:shd w:val="nil" w:color="auto" w:fill="auto"/>
                <w:rtl w:val="0"/>
                <w:lang w:val="en-US"/>
              </w:rPr>
              <w:t>☐</w:t>
            </w:r>
            <w:r>
              <w:rPr>
                <w:rFonts w:ascii="Times New Roman" w:hAnsi="Times New Roman"/>
                <w:sz w:val="20"/>
                <w:szCs w:val="20"/>
                <w:shd w:val="nil" w:color="auto" w:fill="auto"/>
                <w:rtl w:val="0"/>
                <w:lang w:val="en-US"/>
              </w:rPr>
              <w:t xml:space="preserve">    Trust</w:t>
            </w:r>
            <w:r>
              <w:rPr>
                <w:rFonts w:ascii="Segoe UI Symbol" w:cs="Segoe UI Symbol" w:hAnsi="Segoe UI Symbol" w:eastAsia="Segoe UI Symbol"/>
                <w:sz w:val="20"/>
                <w:szCs w:val="20"/>
                <w:shd w:val="nil" w:color="auto" w:fill="auto"/>
                <w:rtl w:val="0"/>
                <w:lang w:val="en-US"/>
              </w:rPr>
              <w:t>☐</w:t>
            </w:r>
            <w:r>
              <w:rPr>
                <w:rFonts w:ascii="Times New Roman" w:hAnsi="Times New Roman"/>
                <w:sz w:val="20"/>
                <w:szCs w:val="20"/>
                <w:shd w:val="nil" w:color="auto" w:fill="auto"/>
                <w:rtl w:val="0"/>
                <w:lang w:val="en-US"/>
              </w:rPr>
              <w:t xml:space="preserve">       Pvt Ltd</w:t>
            </w:r>
            <w:r>
              <w:rPr>
                <w:rFonts w:ascii="Segoe UI Symbol" w:cs="Segoe UI Symbol" w:hAnsi="Segoe UI Symbol" w:eastAsia="Segoe UI Symbol"/>
                <w:sz w:val="20"/>
                <w:szCs w:val="20"/>
                <w:shd w:val="nil" w:color="auto" w:fill="auto"/>
                <w:rtl w:val="0"/>
                <w:lang w:val="en-US"/>
              </w:rPr>
              <w:t>☐</w:t>
            </w:r>
            <w:r>
              <w:rPr>
                <w:rFonts w:ascii="Times New Roman" w:hAnsi="Times New Roman"/>
                <w:sz w:val="20"/>
                <w:szCs w:val="20"/>
                <w:shd w:val="nil" w:color="auto" w:fill="auto"/>
                <w:rtl w:val="0"/>
                <w:lang w:val="en-US"/>
              </w:rPr>
              <w:t xml:space="preserve">       Public Ltd</w:t>
            </w:r>
            <w:r>
              <w:rPr>
                <w:rFonts w:ascii="Segoe UI Symbol" w:cs="Segoe UI Symbol" w:hAnsi="Segoe UI Symbol" w:eastAsia="Segoe UI Symbol"/>
                <w:sz w:val="20"/>
                <w:szCs w:val="20"/>
                <w:shd w:val="nil" w:color="auto" w:fill="auto"/>
                <w:rtl w:val="0"/>
                <w:lang w:val="en-US"/>
              </w:rPr>
              <w:t>☐</w:t>
            </w:r>
            <w:r>
              <w:rPr>
                <w:rFonts w:ascii="Times New Roman" w:hAnsi="Times New Roman"/>
                <w:sz w:val="20"/>
                <w:szCs w:val="20"/>
                <w:shd w:val="nil" w:color="auto" w:fill="auto"/>
                <w:rtl w:val="0"/>
                <w:lang w:val="en-US"/>
              </w:rPr>
              <w:t xml:space="preserve">   LLP</w:t>
            </w:r>
            <w:r>
              <w:rPr>
                <w:rFonts w:ascii="Segoe UI Symbol" w:cs="Segoe UI Symbol" w:hAnsi="Segoe UI Symbol" w:eastAsia="Segoe UI Symbol"/>
                <w:sz w:val="20"/>
                <w:szCs w:val="20"/>
                <w:shd w:val="nil" w:color="auto" w:fill="auto"/>
                <w:rtl w:val="0"/>
                <w:lang w:val="en-US"/>
              </w:rPr>
              <w:t>☐</w:t>
            </w:r>
          </w:p>
        </w:tc>
      </w:tr>
      <w:tr>
        <w:tblPrEx>
          <w:shd w:val="clear" w:color="auto" w:fill="cad1d7"/>
        </w:tblPrEx>
        <w:trPr>
          <w:trHeight w:val="581"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53" w:lineRule="exact"/>
              <w:ind w:left="105" w:firstLine="0"/>
            </w:pPr>
            <w:r>
              <w:rPr>
                <w:rFonts w:ascii="Times New Roman" w:hAnsi="Times New Roman"/>
                <w:b w:val="1"/>
                <w:bCs w:val="1"/>
                <w:sz w:val="20"/>
                <w:szCs w:val="20"/>
                <w:shd w:val="nil" w:color="auto" w:fill="auto"/>
                <w:rtl w:val="0"/>
                <w:lang w:val="en-US"/>
              </w:rPr>
              <w:t>Registered Address</w:t>
            </w:r>
          </w:p>
        </w:tc>
      </w:tr>
      <w:tr>
        <w:tblPrEx>
          <w:shd w:val="clear" w:color="auto" w:fill="cad1d7"/>
        </w:tblPrEx>
        <w:trPr>
          <w:trHeight w:val="300"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40" w:line="238" w:lineRule="exact"/>
              <w:ind w:left="105" w:firstLine="0"/>
            </w:pPr>
            <w:r>
              <w:rPr>
                <w:rFonts w:ascii="Times New Roman" w:hAnsi="Times New Roman"/>
                <w:sz w:val="20"/>
                <w:szCs w:val="20"/>
                <w:shd w:val="nil" w:color="auto" w:fill="auto"/>
                <w:rtl w:val="0"/>
                <w:lang w:val="en-US"/>
              </w:rPr>
              <w:t>City</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4"/>
              <w:bottom w:type="dxa" w:w="80"/>
              <w:right w:type="dxa" w:w="80"/>
            </w:tcMar>
            <w:vAlign w:val="top"/>
          </w:tcPr>
          <w:p>
            <w:pPr>
              <w:pStyle w:val="Table Paragraph"/>
              <w:spacing w:before="40" w:line="238" w:lineRule="exact"/>
              <w:ind w:left="104" w:firstLine="0"/>
            </w:pPr>
            <w:r>
              <w:rPr>
                <w:rFonts w:ascii="Times New Roman" w:hAnsi="Times New Roman"/>
                <w:sz w:val="20"/>
                <w:szCs w:val="20"/>
                <w:shd w:val="nil" w:color="auto" w:fill="auto"/>
                <w:rtl w:val="0"/>
                <w:lang w:val="en-US"/>
              </w:rPr>
              <w:t>State</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300"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40" w:line="242" w:lineRule="exact"/>
              <w:ind w:left="105" w:firstLine="0"/>
            </w:pPr>
            <w:r>
              <w:rPr>
                <w:rFonts w:ascii="Times New Roman" w:hAnsi="Times New Roman"/>
                <w:sz w:val="20"/>
                <w:szCs w:val="20"/>
                <w:shd w:val="nil" w:color="auto" w:fill="auto"/>
                <w:rtl w:val="0"/>
                <w:lang w:val="en-US"/>
              </w:rPr>
              <w:t>Pin Code</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4"/>
              <w:bottom w:type="dxa" w:w="80"/>
              <w:right w:type="dxa" w:w="80"/>
            </w:tcMar>
            <w:vAlign w:val="top"/>
          </w:tcPr>
          <w:p>
            <w:pPr>
              <w:pStyle w:val="Table Paragraph"/>
              <w:spacing w:before="40" w:line="242" w:lineRule="exact"/>
              <w:ind w:left="104" w:firstLine="0"/>
            </w:pPr>
            <w:r>
              <w:rPr>
                <w:rFonts w:ascii="Times New Roman" w:hAnsi="Times New Roman"/>
                <w:sz w:val="20"/>
                <w:szCs w:val="20"/>
                <w:shd w:val="nil" w:color="auto" w:fill="auto"/>
                <w:rtl w:val="0"/>
                <w:lang w:val="en-US"/>
              </w:rPr>
              <w:t>Telephone</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300"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pPr>
            <w:r>
              <w:rPr>
                <w:rFonts w:ascii="Times New Roman" w:hAnsi="Times New Roman"/>
                <w:sz w:val="20"/>
                <w:szCs w:val="20"/>
                <w:shd w:val="nil" w:color="auto" w:fill="auto"/>
                <w:rtl w:val="0"/>
                <w:lang w:val="en-US"/>
              </w:rPr>
              <w:t xml:space="preserve"> Email ID</w:t>
            </w:r>
          </w:p>
        </w:tc>
        <w:tc>
          <w:tcPr>
            <w:tcW w:type="dxa" w:w="637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524"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pPr>
            <w:r>
              <w:rPr>
                <w:rFonts w:ascii="Times New Roman" w:hAnsi="Times New Roman"/>
                <w:sz w:val="20"/>
                <w:szCs w:val="20"/>
                <w:shd w:val="nil" w:color="auto" w:fill="auto"/>
                <w:rtl w:val="0"/>
                <w:lang w:val="en-US"/>
              </w:rPr>
              <w:t xml:space="preserve"> </w:t>
            </w:r>
            <w:r>
              <w:rPr>
                <w:rFonts w:ascii="Times New Roman" w:hAnsi="Times New Roman"/>
                <w:b w:val="1"/>
                <w:bCs w:val="1"/>
                <w:sz w:val="20"/>
                <w:szCs w:val="20"/>
                <w:shd w:val="nil" w:color="auto" w:fill="auto"/>
                <w:rtl w:val="0"/>
                <w:lang w:val="en-US"/>
              </w:rPr>
              <w:t>Billing Address</w:t>
            </w:r>
          </w:p>
        </w:tc>
      </w:tr>
      <w:tr>
        <w:tblPrEx>
          <w:shd w:val="clear" w:color="auto" w:fill="cad1d7"/>
        </w:tblPrEx>
        <w:trPr>
          <w:trHeight w:val="300"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40" w:line="242" w:lineRule="exact"/>
              <w:ind w:left="105" w:firstLine="0"/>
            </w:pPr>
            <w:r>
              <w:rPr>
                <w:rFonts w:ascii="Times New Roman" w:hAnsi="Times New Roman"/>
                <w:sz w:val="20"/>
                <w:szCs w:val="20"/>
                <w:shd w:val="nil" w:color="auto" w:fill="auto"/>
                <w:rtl w:val="0"/>
                <w:lang w:val="en-US"/>
              </w:rPr>
              <w:t>City</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4"/>
              <w:bottom w:type="dxa" w:w="80"/>
              <w:right w:type="dxa" w:w="80"/>
            </w:tcMar>
            <w:vAlign w:val="top"/>
          </w:tcPr>
          <w:p>
            <w:pPr>
              <w:pStyle w:val="Table Paragraph"/>
              <w:spacing w:before="40" w:line="242" w:lineRule="exact"/>
              <w:ind w:left="104" w:firstLine="0"/>
            </w:pPr>
            <w:r>
              <w:rPr>
                <w:rFonts w:ascii="Times New Roman" w:hAnsi="Times New Roman"/>
                <w:sz w:val="20"/>
                <w:szCs w:val="20"/>
                <w:shd w:val="nil" w:color="auto" w:fill="auto"/>
                <w:rtl w:val="0"/>
                <w:lang w:val="en-US"/>
              </w:rPr>
              <w:t>State</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300" w:hRule="atLeast"/>
        </w:trPr>
        <w:tc>
          <w:tcPr>
            <w:tcW w:type="dxa" w:w="35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40" w:line="242" w:lineRule="exact"/>
              <w:ind w:left="105" w:firstLine="0"/>
            </w:pPr>
            <w:r>
              <w:rPr>
                <w:rFonts w:ascii="Times New Roman" w:hAnsi="Times New Roman"/>
                <w:sz w:val="20"/>
                <w:szCs w:val="20"/>
                <w:shd w:val="nil" w:color="auto" w:fill="auto"/>
                <w:rtl w:val="0"/>
                <w:lang w:val="en-US"/>
              </w:rPr>
              <w:t>Pin Code</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3"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11"/>
              <w:bottom w:type="dxa" w:w="80"/>
              <w:right w:type="dxa" w:w="2012"/>
            </w:tcMar>
            <w:vAlign w:val="top"/>
          </w:tcPr>
          <w:p>
            <w:pPr>
              <w:pStyle w:val="Table Paragraph"/>
              <w:spacing w:before="44" w:line="237" w:lineRule="exact"/>
              <w:ind w:left="1931" w:right="1932" w:firstLine="0"/>
              <w:jc w:val="center"/>
            </w:pPr>
            <w:r>
              <w:rPr>
                <w:rFonts w:ascii="Times New Roman" w:hAnsi="Times New Roman"/>
                <w:b w:val="1"/>
                <w:bCs w:val="1"/>
                <w:sz w:val="20"/>
                <w:szCs w:val="20"/>
                <w:shd w:val="nil" w:color="auto" w:fill="auto"/>
                <w:rtl w:val="0"/>
                <w:lang w:val="en-US"/>
              </w:rPr>
              <w:t xml:space="preserve">Corporate Expense Prepaid Card Offered by Pine Labs </w:t>
            </w:r>
          </w:p>
        </w:tc>
      </w:tr>
      <w:tr>
        <w:tblPrEx>
          <w:shd w:val="clear" w:color="auto" w:fill="cad1d7"/>
        </w:tblPrEx>
        <w:trPr>
          <w:trHeight w:val="452"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57"/>
            </w:tcMar>
            <w:vAlign w:val="top"/>
          </w:tcPr>
          <w:p>
            <w:pPr>
              <w:pStyle w:val="Table Paragraph"/>
              <w:spacing w:before="83"/>
              <w:ind w:left="105" w:right="77" w:firstLine="0"/>
            </w:pPr>
            <w:r>
              <w:rPr>
                <w:rFonts w:ascii="Times New Roman" w:hAnsi="Times New Roman"/>
                <w:sz w:val="20"/>
                <w:szCs w:val="20"/>
                <w:shd w:val="nil" w:color="auto" w:fill="auto"/>
                <w:rtl w:val="0"/>
                <w:lang w:val="en-US"/>
              </w:rPr>
              <w:t>Based on your selection of the solution above, only such clauses of the terms &amp; conditions which are relevant to your arrangement with Pine Labs shall be applicable &amp; binding on you.</w:t>
            </w:r>
          </w:p>
        </w:tc>
      </w:tr>
      <w:tr>
        <w:tblPrEx>
          <w:shd w:val="clear" w:color="auto" w:fill="cad1d7"/>
        </w:tblPrEx>
        <w:trPr>
          <w:trHeight w:val="243"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 xml:space="preserve"> GST Registration No</w:t>
            </w:r>
          </w:p>
        </w:tc>
      </w:tr>
      <w:tr>
        <w:tblPrEx>
          <w:shd w:val="clear" w:color="auto" w:fill="cad1d7"/>
        </w:tblPrEx>
        <w:trPr>
          <w:trHeight w:val="280"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 xml:space="preserve"> Permanent Account Number (PAN)</w:t>
            </w:r>
          </w:p>
        </w:tc>
      </w:tr>
      <w:tr>
        <w:tblPrEx>
          <w:shd w:val="clear" w:color="auto" w:fill="cad1d7"/>
        </w:tblPrEx>
        <w:trPr>
          <w:trHeight w:val="539"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rPr>
                <w:rFonts w:ascii="Times New Roman" w:cs="Times New Roman" w:hAnsi="Times New Roman" w:eastAsia="Times New Roman"/>
                <w:sz w:val="20"/>
                <w:szCs w:val="20"/>
                <w:shd w:val="nil" w:color="auto" w:fill="auto"/>
              </w:rPr>
            </w:pPr>
            <w:r>
              <w:rPr>
                <w:rFonts w:ascii="Times New Roman" w:hAnsi="Times New Roman"/>
                <w:sz w:val="20"/>
                <w:szCs w:val="20"/>
                <w:shd w:val="nil" w:color="auto" w:fill="auto"/>
                <w:rtl w:val="0"/>
                <w:lang w:val="en-US"/>
              </w:rPr>
              <w:t xml:space="preserve"> Address Proof:</w:t>
            </w:r>
          </w:p>
          <w:p>
            <w:pPr>
              <w:pStyle w:val="Table Paragraph"/>
              <w:bidi w:val="0"/>
              <w:spacing w:before="83"/>
              <w:ind w:left="0" w:right="77" w:firstLine="0"/>
              <w:jc w:val="left"/>
              <w:rPr>
                <w:rtl w:val="0"/>
              </w:rPr>
            </w:pPr>
            <w:r>
              <w:rPr>
                <w:rFonts w:ascii="Times New Roman" w:hAnsi="Times New Roman"/>
                <w:sz w:val="20"/>
                <w:szCs w:val="20"/>
                <w:shd w:val="nil" w:color="auto" w:fill="auto"/>
                <w:rtl w:val="0"/>
                <w:lang w:val="en-US"/>
              </w:rPr>
              <w:t xml:space="preserve"> (Copy of address proof to be attached)</w:t>
            </w:r>
          </w:p>
        </w:tc>
      </w:tr>
      <w:tr>
        <w:tblPrEx>
          <w:shd w:val="clear" w:color="auto" w:fill="cad1d7"/>
        </w:tblPrEx>
        <w:trPr>
          <w:trHeight w:val="274"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CIN/LLP Number (If Applicable):</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 xml:space="preserve"> TAN Number (If applicable):</w:t>
            </w:r>
          </w:p>
        </w:tc>
      </w:tr>
      <w:tr>
        <w:tblPrEx>
          <w:shd w:val="clear" w:color="auto" w:fill="cad1d7"/>
        </w:tblPrEx>
        <w:trPr>
          <w:trHeight w:val="305"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 xml:space="preserve"> Bank Details:</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 xml:space="preserve">Branch: </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Account Number:</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Bank:</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IFSC Code:</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City:</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b w:val="1"/>
                <w:bCs w:val="1"/>
                <w:sz w:val="20"/>
                <w:szCs w:val="20"/>
                <w:shd w:val="nil" w:color="auto" w:fill="auto"/>
                <w:rtl w:val="0"/>
                <w:lang w:val="en-US"/>
              </w:rPr>
              <w:t>Contact Details for Official Communication</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b w:val="1"/>
                <w:bCs w:val="1"/>
                <w:sz w:val="20"/>
                <w:szCs w:val="20"/>
                <w:shd w:val="nil" w:color="auto" w:fill="auto"/>
                <w:rtl w:val="0"/>
                <w:lang w:val="en-US"/>
              </w:rPr>
              <w:t>Salesperson Contact Details</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Name</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Name</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Mobile Number</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Mobile Number</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Email</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Email</w:t>
            </w:r>
          </w:p>
        </w:tc>
      </w:tr>
      <w:tr>
        <w:tblPrEx>
          <w:shd w:val="clear" w:color="auto" w:fill="cad1d7"/>
        </w:tblPrEx>
        <w:trPr>
          <w:trHeight w:val="300"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b w:val="1"/>
                <w:bCs w:val="1"/>
                <w:sz w:val="20"/>
                <w:szCs w:val="20"/>
                <w:shd w:val="nil" w:color="auto" w:fill="auto"/>
                <w:rtl w:val="0"/>
                <w:lang w:val="en-US"/>
              </w:rPr>
              <w:t>Authorized Signatory Details</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452"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Name</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Is Authorized Signatory a Politically Exposed Person (PEP)</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Contact Number</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Yes</w:t>
            </w:r>
          </w:p>
        </w:tc>
      </w:tr>
      <w:tr>
        <w:tblPrEx>
          <w:shd w:val="clear" w:color="auto" w:fill="cad1d7"/>
        </w:tblPrEx>
        <w:trPr>
          <w:trHeight w:val="236"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Email id</w:t>
            </w:r>
          </w:p>
        </w:tc>
        <w:tc>
          <w:tcPr>
            <w:tcW w:type="dxa" w:w="35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7"/>
            </w:tcMar>
            <w:vAlign w:val="top"/>
          </w:tcPr>
          <w:p>
            <w:pPr>
              <w:pStyle w:val="Table Paragraph"/>
              <w:spacing w:before="83"/>
              <w:ind w:right="77"/>
            </w:pPr>
            <w:r>
              <w:rPr>
                <w:rFonts w:ascii="Times New Roman" w:hAnsi="Times New Roman"/>
                <w:sz w:val="20"/>
                <w:szCs w:val="20"/>
                <w:shd w:val="nil" w:color="auto" w:fill="auto"/>
                <w:rtl w:val="0"/>
                <w:lang w:val="en-US"/>
              </w:rPr>
              <w:t>No</w:t>
            </w:r>
          </w:p>
        </w:tc>
      </w:tr>
      <w:tr>
        <w:tblPrEx>
          <w:shd w:val="clear" w:color="auto" w:fill="cad1d7"/>
        </w:tblPrEx>
        <w:trPr>
          <w:trHeight w:val="421" w:hRule="atLeast"/>
        </w:trPr>
        <w:tc>
          <w:tcPr>
            <w:tcW w:type="dxa" w:w="992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83" w:line="240" w:lineRule="auto"/>
            </w:pPr>
            <w:r>
              <w:rPr>
                <w:rFonts w:ascii="Times New Roman" w:hAnsi="Times New Roman"/>
                <w:b w:val="1"/>
                <w:bCs w:val="1"/>
                <w:sz w:val="20"/>
                <w:szCs w:val="20"/>
                <w:shd w:val="nil" w:color="auto" w:fill="auto"/>
                <w:rtl w:val="0"/>
                <w:lang w:val="en-US"/>
              </w:rPr>
              <w:t xml:space="preserve">Self Consumption _______</w:t>
            </w:r>
            <w:r>
              <w:rPr>
                <w:rFonts w:ascii="Times New Roman" w:hAnsi="Times New Roman"/>
                <w:b w:val="1"/>
                <w:bCs w:val="1"/>
                <w:sz w:val="20"/>
                <w:szCs w:val="20"/>
                <w:shd w:val="nil" w:color="auto" w:fill="auto"/>
                <w:rtl w:val="0"/>
                <w:lang w:val="en-US"/>
              </w:rPr>
              <w:drawing>
                <wp:inline distT="0" distB="0" distL="0" distR="0">
                  <wp:extent cx="264687" cy="203200"/>
                  <wp:effectExtent l="0" t="0" r="0" b="0"/>
                  <wp:docPr id="1073741825" name="officeArt object" descr="Tick"/>
                  <wp:cNvGraphicFramePr/>
                  <a:graphic xmlns:a="http://schemas.openxmlformats.org/drawingml/2006/main">
                    <a:graphicData uri="http://schemas.microsoft.com/office/word/2010/wordprocessingShape">
                      <wps:wsp>
                        <wps:cNvSpPr/>
                        <wps:spPr>
                          <a:xfrm>
                            <a:off x="0" y="0"/>
                            <a:ext cx="357903" cy="274762"/>
                          </a:xfrm>
                          <a:custGeom>
                            <a:avLst/>
                            <a:gdLst/>
                            <a:ahLst/>
                            <a:cxnLst>
                              <a:cxn ang="0">
                                <a:pos x="wd2" y="hd2"/>
                              </a:cxn>
                              <a:cxn ang="5400000">
                                <a:pos x="wd2" y="hd2"/>
                              </a:cxn>
                              <a:cxn ang="10800000">
                                <a:pos x="wd2" y="hd2"/>
                              </a:cxn>
                              <a:cxn ang="16200000">
                                <a:pos x="wd2" y="hd2"/>
                              </a:cxn>
                            </a:cxnLst>
                            <a:rect l="0" t="0" r="r" b="b"/>
                            <a:pathLst>
                              <a:path w="21576" h="21585" fill="norm" stroke="1" extrusionOk="0">
                                <a:moveTo>
                                  <a:pt x="19124" y="0"/>
                                </a:moveTo>
                                <a:cubicBezTo>
                                  <a:pt x="19093" y="0"/>
                                  <a:pt x="19062" y="15"/>
                                  <a:pt x="19038" y="46"/>
                                </a:cubicBezTo>
                                <a:lnTo>
                                  <a:pt x="7550" y="15019"/>
                                </a:lnTo>
                                <a:cubicBezTo>
                                  <a:pt x="7502" y="15081"/>
                                  <a:pt x="7426" y="15081"/>
                                  <a:pt x="7379" y="15019"/>
                                </a:cubicBezTo>
                                <a:lnTo>
                                  <a:pt x="2536" y="8708"/>
                                </a:lnTo>
                                <a:cubicBezTo>
                                  <a:pt x="2489" y="8646"/>
                                  <a:pt x="2413" y="8646"/>
                                  <a:pt x="2365" y="8708"/>
                                </a:cubicBezTo>
                                <a:lnTo>
                                  <a:pt x="35" y="11744"/>
                                </a:lnTo>
                                <a:cubicBezTo>
                                  <a:pt x="-12" y="11806"/>
                                  <a:pt x="-12" y="11907"/>
                                  <a:pt x="35" y="11969"/>
                                </a:cubicBezTo>
                                <a:lnTo>
                                  <a:pt x="4963" y="18390"/>
                                </a:lnTo>
                                <a:lnTo>
                                  <a:pt x="6654" y="20594"/>
                                </a:lnTo>
                                <a:lnTo>
                                  <a:pt x="7379" y="21538"/>
                                </a:lnTo>
                                <a:cubicBezTo>
                                  <a:pt x="7426" y="21600"/>
                                  <a:pt x="7502" y="21600"/>
                                  <a:pt x="7550" y="21538"/>
                                </a:cubicBezTo>
                                <a:lnTo>
                                  <a:pt x="21541" y="3307"/>
                                </a:lnTo>
                                <a:cubicBezTo>
                                  <a:pt x="21588" y="3245"/>
                                  <a:pt x="21588" y="3146"/>
                                  <a:pt x="21541" y="3085"/>
                                </a:cubicBezTo>
                                <a:lnTo>
                                  <a:pt x="19211" y="48"/>
                                </a:lnTo>
                                <a:cubicBezTo>
                                  <a:pt x="19186" y="17"/>
                                  <a:pt x="19156" y="0"/>
                                  <a:pt x="19124" y="0"/>
                                </a:cubicBezTo>
                                <a:close/>
                              </a:path>
                            </a:pathLst>
                          </a:custGeom>
                          <a:solidFill>
                            <a:srgbClr val="000000">
                              <a:alpha val="93032"/>
                            </a:srgbClr>
                          </a:solidFill>
                          <a:ln w="12700" cap="flat">
                            <a:noFill/>
                            <a:miter lim="400000"/>
                          </a:ln>
                          <a:effectLst/>
                        </wps:spPr>
                        <wps:bodyPr/>
                      </wps:wsp>
                    </a:graphicData>
                  </a:graphic>
                </wp:inline>
              </w:drawing>
            </w:r>
            <w:r>
              <w:rPr>
                <w:rFonts w:ascii="Times New Roman" w:hAnsi="Times New Roman"/>
                <w:b w:val="1"/>
                <w:bCs w:val="1"/>
                <w:sz w:val="20"/>
                <w:szCs w:val="20"/>
                <w:shd w:val="nil" w:color="auto" w:fill="auto"/>
                <w:rtl w:val="0"/>
                <w:lang w:val="en-US"/>
              </w:rPr>
              <w:t xml:space="preserve">          Distribution ______</w:t>
            </w:r>
            <w:r>
              <w:rPr>
                <w:rFonts w:ascii="Times New Roman" w:hAnsi="Times New Roman"/>
                <w:b w:val="1"/>
                <w:bCs w:val="1"/>
                <w:sz w:val="20"/>
                <w:szCs w:val="20"/>
                <w:shd w:val="nil" w:color="auto" w:fill="auto"/>
                <w:rtl w:val="0"/>
                <w:lang w:val="en-US"/>
              </w:rPr>
              <w:drawing>
                <wp:inline distT="0" distB="0" distL="0" distR="0">
                  <wp:extent cx="171960" cy="203200"/>
                  <wp:effectExtent l="0" t="0" r="0" b="0"/>
                  <wp:docPr id="1073741826" name="officeArt object" descr="Dingbat X"/>
                  <wp:cNvGraphicFramePr/>
                  <a:graphic xmlns:a="http://schemas.openxmlformats.org/drawingml/2006/main">
                    <a:graphicData uri="http://schemas.microsoft.com/office/word/2010/wordprocessingShape">
                      <wps:wsp>
                        <wps:cNvSpPr/>
                        <wps:spPr>
                          <a:xfrm>
                            <a:off x="0" y="0"/>
                            <a:ext cx="236227" cy="279142"/>
                          </a:xfrm>
                          <a:custGeom>
                            <a:avLst/>
                            <a:gdLst/>
                            <a:ahLst/>
                            <a:cxnLst>
                              <a:cxn ang="0">
                                <a:pos x="wd2" y="hd2"/>
                              </a:cxn>
                              <a:cxn ang="5400000">
                                <a:pos x="wd2" y="hd2"/>
                              </a:cxn>
                              <a:cxn ang="10800000">
                                <a:pos x="wd2" y="hd2"/>
                              </a:cxn>
                              <a:cxn ang="16200000">
                                <a:pos x="wd2" y="hd2"/>
                              </a:cxn>
                            </a:cxnLst>
                            <a:rect l="0" t="0" r="r" b="b"/>
                            <a:pathLst>
                              <a:path w="21484" h="21548" fill="norm" stroke="1" extrusionOk="0">
                                <a:moveTo>
                                  <a:pt x="18655" y="0"/>
                                </a:moveTo>
                                <a:cubicBezTo>
                                  <a:pt x="18494" y="5"/>
                                  <a:pt x="18333" y="109"/>
                                  <a:pt x="18066" y="314"/>
                                </a:cubicBezTo>
                                <a:cubicBezTo>
                                  <a:pt x="15478" y="2289"/>
                                  <a:pt x="13027" y="4381"/>
                                  <a:pt x="10727" y="6600"/>
                                </a:cubicBezTo>
                                <a:cubicBezTo>
                                  <a:pt x="10587" y="6735"/>
                                  <a:pt x="10434" y="6862"/>
                                  <a:pt x="10258" y="7020"/>
                                </a:cubicBezTo>
                                <a:cubicBezTo>
                                  <a:pt x="10102" y="6832"/>
                                  <a:pt x="9974" y="6685"/>
                                  <a:pt x="9856" y="6533"/>
                                </a:cubicBezTo>
                                <a:cubicBezTo>
                                  <a:pt x="8908" y="5315"/>
                                  <a:pt x="7971" y="4091"/>
                                  <a:pt x="7009" y="2882"/>
                                </a:cubicBezTo>
                                <a:cubicBezTo>
                                  <a:pt x="6625" y="2399"/>
                                  <a:pt x="6178" y="1951"/>
                                  <a:pt x="5769" y="1483"/>
                                </a:cubicBezTo>
                                <a:cubicBezTo>
                                  <a:pt x="5573" y="1260"/>
                                  <a:pt x="5327" y="1254"/>
                                  <a:pt x="5044" y="1314"/>
                                </a:cubicBezTo>
                                <a:cubicBezTo>
                                  <a:pt x="4759" y="1375"/>
                                  <a:pt x="4593" y="1540"/>
                                  <a:pt x="4590" y="1770"/>
                                </a:cubicBezTo>
                                <a:cubicBezTo>
                                  <a:pt x="4583" y="2129"/>
                                  <a:pt x="4349" y="2291"/>
                                  <a:pt x="3989" y="2389"/>
                                </a:cubicBezTo>
                                <a:cubicBezTo>
                                  <a:pt x="3741" y="2232"/>
                                  <a:pt x="3498" y="2079"/>
                                  <a:pt x="3221" y="1904"/>
                                </a:cubicBezTo>
                                <a:cubicBezTo>
                                  <a:pt x="2922" y="2176"/>
                                  <a:pt x="2660" y="2427"/>
                                  <a:pt x="2382" y="2665"/>
                                </a:cubicBezTo>
                                <a:cubicBezTo>
                                  <a:pt x="2135" y="2876"/>
                                  <a:pt x="2125" y="3090"/>
                                  <a:pt x="2231" y="3371"/>
                                </a:cubicBezTo>
                                <a:cubicBezTo>
                                  <a:pt x="3179" y="5877"/>
                                  <a:pt x="4394" y="8283"/>
                                  <a:pt x="5880" y="10593"/>
                                </a:cubicBezTo>
                                <a:cubicBezTo>
                                  <a:pt x="5956" y="10712"/>
                                  <a:pt x="6024" y="10835"/>
                                  <a:pt x="6094" y="10951"/>
                                </a:cubicBezTo>
                                <a:cubicBezTo>
                                  <a:pt x="4046" y="12991"/>
                                  <a:pt x="2019" y="15012"/>
                                  <a:pt x="0" y="17024"/>
                                </a:cubicBezTo>
                                <a:cubicBezTo>
                                  <a:pt x="166" y="17359"/>
                                  <a:pt x="297" y="17644"/>
                                  <a:pt x="450" y="17921"/>
                                </a:cubicBezTo>
                                <a:cubicBezTo>
                                  <a:pt x="559" y="18117"/>
                                  <a:pt x="570" y="18299"/>
                                  <a:pt x="443" y="18491"/>
                                </a:cubicBezTo>
                                <a:cubicBezTo>
                                  <a:pt x="355" y="18625"/>
                                  <a:pt x="277" y="18763"/>
                                  <a:pt x="214" y="18906"/>
                                </a:cubicBezTo>
                                <a:cubicBezTo>
                                  <a:pt x="179" y="18986"/>
                                  <a:pt x="139" y="19096"/>
                                  <a:pt x="175" y="19164"/>
                                </a:cubicBezTo>
                                <a:cubicBezTo>
                                  <a:pt x="462" y="19717"/>
                                  <a:pt x="876" y="20186"/>
                                  <a:pt x="1406" y="20550"/>
                                </a:cubicBezTo>
                                <a:cubicBezTo>
                                  <a:pt x="1668" y="20457"/>
                                  <a:pt x="1862" y="20370"/>
                                  <a:pt x="2068" y="20319"/>
                                </a:cubicBezTo>
                                <a:cubicBezTo>
                                  <a:pt x="2305" y="20259"/>
                                  <a:pt x="2506" y="20384"/>
                                  <a:pt x="2432" y="20567"/>
                                </a:cubicBezTo>
                                <a:cubicBezTo>
                                  <a:pt x="2271" y="20967"/>
                                  <a:pt x="2606" y="21165"/>
                                  <a:pt x="2838" y="21403"/>
                                </a:cubicBezTo>
                                <a:cubicBezTo>
                                  <a:pt x="3027" y="21596"/>
                                  <a:pt x="3335" y="21593"/>
                                  <a:pt x="3548" y="21414"/>
                                </a:cubicBezTo>
                                <a:cubicBezTo>
                                  <a:pt x="3624" y="21350"/>
                                  <a:pt x="3679" y="21268"/>
                                  <a:pt x="3745" y="21195"/>
                                </a:cubicBezTo>
                                <a:cubicBezTo>
                                  <a:pt x="5406" y="19353"/>
                                  <a:pt x="7068" y="17510"/>
                                  <a:pt x="8732" y="15669"/>
                                </a:cubicBezTo>
                                <a:cubicBezTo>
                                  <a:pt x="8850" y="15538"/>
                                  <a:pt x="8982" y="15417"/>
                                  <a:pt x="9151" y="15248"/>
                                </a:cubicBezTo>
                                <a:cubicBezTo>
                                  <a:pt x="9312" y="15457"/>
                                  <a:pt x="9442" y="15618"/>
                                  <a:pt x="9566" y="15782"/>
                                </a:cubicBezTo>
                                <a:cubicBezTo>
                                  <a:pt x="10552" y="17091"/>
                                  <a:pt x="11622" y="18348"/>
                                  <a:pt x="12799" y="19538"/>
                                </a:cubicBezTo>
                                <a:cubicBezTo>
                                  <a:pt x="13137" y="19880"/>
                                  <a:pt x="13363" y="19913"/>
                                  <a:pt x="13764" y="19639"/>
                                </a:cubicBezTo>
                                <a:cubicBezTo>
                                  <a:pt x="14071" y="19429"/>
                                  <a:pt x="14340" y="19181"/>
                                  <a:pt x="14638" y="18942"/>
                                </a:cubicBezTo>
                                <a:cubicBezTo>
                                  <a:pt x="14977" y="19118"/>
                                  <a:pt x="15325" y="19299"/>
                                  <a:pt x="15670" y="19479"/>
                                </a:cubicBezTo>
                                <a:cubicBezTo>
                                  <a:pt x="15874" y="19336"/>
                                  <a:pt x="16024" y="19228"/>
                                  <a:pt x="16179" y="19123"/>
                                </a:cubicBezTo>
                                <a:cubicBezTo>
                                  <a:pt x="16407" y="18969"/>
                                  <a:pt x="16586" y="18817"/>
                                  <a:pt x="16625" y="18532"/>
                                </a:cubicBezTo>
                                <a:cubicBezTo>
                                  <a:pt x="16663" y="18245"/>
                                  <a:pt x="16848" y="17980"/>
                                  <a:pt x="17238" y="17893"/>
                                </a:cubicBezTo>
                                <a:cubicBezTo>
                                  <a:pt x="17537" y="17826"/>
                                  <a:pt x="17736" y="17646"/>
                                  <a:pt x="17893" y="17435"/>
                                </a:cubicBezTo>
                                <a:cubicBezTo>
                                  <a:pt x="18144" y="17098"/>
                                  <a:pt x="18337" y="16737"/>
                                  <a:pt x="18424" y="16377"/>
                                </a:cubicBezTo>
                                <a:cubicBezTo>
                                  <a:pt x="16705" y="14528"/>
                                  <a:pt x="15014" y="12708"/>
                                  <a:pt x="13308" y="10873"/>
                                </a:cubicBezTo>
                                <a:cubicBezTo>
                                  <a:pt x="13494" y="10665"/>
                                  <a:pt x="13612" y="10530"/>
                                  <a:pt x="13734" y="10397"/>
                                </a:cubicBezTo>
                                <a:cubicBezTo>
                                  <a:pt x="15805" y="8137"/>
                                  <a:pt x="18039" y="6000"/>
                                  <a:pt x="20413" y="3968"/>
                                </a:cubicBezTo>
                                <a:cubicBezTo>
                                  <a:pt x="20703" y="3719"/>
                                  <a:pt x="20983" y="3471"/>
                                  <a:pt x="21190" y="3153"/>
                                </a:cubicBezTo>
                                <a:cubicBezTo>
                                  <a:pt x="21585" y="2544"/>
                                  <a:pt x="21600" y="2565"/>
                                  <a:pt x="21129" y="2026"/>
                                </a:cubicBezTo>
                                <a:cubicBezTo>
                                  <a:pt x="20955" y="1827"/>
                                  <a:pt x="20762" y="1776"/>
                                  <a:pt x="20487" y="1772"/>
                                </a:cubicBezTo>
                                <a:cubicBezTo>
                                  <a:pt x="19961" y="1764"/>
                                  <a:pt x="19720" y="1486"/>
                                  <a:pt x="19806" y="1064"/>
                                </a:cubicBezTo>
                                <a:cubicBezTo>
                                  <a:pt x="19825" y="971"/>
                                  <a:pt x="19804" y="847"/>
                                  <a:pt x="19743" y="773"/>
                                </a:cubicBezTo>
                                <a:cubicBezTo>
                                  <a:pt x="19597" y="599"/>
                                  <a:pt x="19434" y="429"/>
                                  <a:pt x="19245" y="289"/>
                                </a:cubicBezTo>
                                <a:cubicBezTo>
                                  <a:pt x="18978" y="92"/>
                                  <a:pt x="18816" y="-4"/>
                                  <a:pt x="18655" y="0"/>
                                </a:cubicBezTo>
                                <a:close/>
                              </a:path>
                            </a:pathLst>
                          </a:custGeom>
                          <a:solidFill>
                            <a:srgbClr val="000000"/>
                          </a:solidFill>
                          <a:ln w="12700" cap="flat">
                            <a:noFill/>
                            <a:miter lim="400000"/>
                          </a:ln>
                          <a:effectLst/>
                        </wps:spPr>
                        <wps:bodyPr/>
                      </wps:wsp>
                    </a:graphicData>
                  </a:graphic>
                </wp:inline>
              </w:drawing>
            </w:r>
            <w:r>
              <w:rPr>
                <w:rFonts w:ascii="Times New Roman" w:hAnsi="Times New Roman"/>
                <w:b w:val="1"/>
                <w:bCs w:val="1"/>
                <w:sz w:val="20"/>
                <w:szCs w:val="20"/>
                <w:shd w:val="nil" w:color="auto" w:fill="auto"/>
                <w:rtl w:val="0"/>
                <w:lang w:val="en-US"/>
              </w:rPr>
              <w:t xml:space="preserve">     Others (pls Specify)______</w:t>
            </w:r>
            <w:r>
              <w:rPr>
                <w:rFonts w:ascii="Times New Roman" w:hAnsi="Times New Roman"/>
                <w:b w:val="1"/>
                <w:bCs w:val="1"/>
                <w:sz w:val="20"/>
                <w:szCs w:val="20"/>
                <w:shd w:val="nil" w:color="auto" w:fill="auto"/>
                <w:rtl w:val="0"/>
                <w:lang w:val="en-US"/>
              </w:rPr>
              <w:drawing>
                <wp:inline distT="0" distB="0" distL="0" distR="0">
                  <wp:extent cx="171960" cy="203200"/>
                  <wp:effectExtent l="0" t="0" r="0" b="0"/>
                  <wp:docPr id="1073741827" name="officeArt object" descr="Dingbat X"/>
                  <wp:cNvGraphicFramePr/>
                  <a:graphic xmlns:a="http://schemas.openxmlformats.org/drawingml/2006/main">
                    <a:graphicData uri="http://schemas.microsoft.com/office/word/2010/wordprocessingShape">
                      <wps:wsp>
                        <wps:cNvSpPr/>
                        <wps:spPr>
                          <a:xfrm>
                            <a:off x="0" y="0"/>
                            <a:ext cx="236227" cy="279142"/>
                          </a:xfrm>
                          <a:custGeom>
                            <a:avLst/>
                            <a:gdLst/>
                            <a:ahLst/>
                            <a:cxnLst>
                              <a:cxn ang="0">
                                <a:pos x="wd2" y="hd2"/>
                              </a:cxn>
                              <a:cxn ang="5400000">
                                <a:pos x="wd2" y="hd2"/>
                              </a:cxn>
                              <a:cxn ang="10800000">
                                <a:pos x="wd2" y="hd2"/>
                              </a:cxn>
                              <a:cxn ang="16200000">
                                <a:pos x="wd2" y="hd2"/>
                              </a:cxn>
                            </a:cxnLst>
                            <a:rect l="0" t="0" r="r" b="b"/>
                            <a:pathLst>
                              <a:path w="21484" h="21548" fill="norm" stroke="1" extrusionOk="0">
                                <a:moveTo>
                                  <a:pt x="18655" y="0"/>
                                </a:moveTo>
                                <a:cubicBezTo>
                                  <a:pt x="18494" y="5"/>
                                  <a:pt x="18333" y="109"/>
                                  <a:pt x="18066" y="314"/>
                                </a:cubicBezTo>
                                <a:cubicBezTo>
                                  <a:pt x="15478" y="2289"/>
                                  <a:pt x="13027" y="4381"/>
                                  <a:pt x="10727" y="6600"/>
                                </a:cubicBezTo>
                                <a:cubicBezTo>
                                  <a:pt x="10587" y="6735"/>
                                  <a:pt x="10434" y="6862"/>
                                  <a:pt x="10258" y="7020"/>
                                </a:cubicBezTo>
                                <a:cubicBezTo>
                                  <a:pt x="10102" y="6832"/>
                                  <a:pt x="9974" y="6685"/>
                                  <a:pt x="9856" y="6533"/>
                                </a:cubicBezTo>
                                <a:cubicBezTo>
                                  <a:pt x="8908" y="5315"/>
                                  <a:pt x="7971" y="4091"/>
                                  <a:pt x="7009" y="2882"/>
                                </a:cubicBezTo>
                                <a:cubicBezTo>
                                  <a:pt x="6625" y="2399"/>
                                  <a:pt x="6178" y="1951"/>
                                  <a:pt x="5769" y="1483"/>
                                </a:cubicBezTo>
                                <a:cubicBezTo>
                                  <a:pt x="5573" y="1260"/>
                                  <a:pt x="5327" y="1254"/>
                                  <a:pt x="5044" y="1314"/>
                                </a:cubicBezTo>
                                <a:cubicBezTo>
                                  <a:pt x="4759" y="1375"/>
                                  <a:pt x="4593" y="1540"/>
                                  <a:pt x="4590" y="1770"/>
                                </a:cubicBezTo>
                                <a:cubicBezTo>
                                  <a:pt x="4583" y="2129"/>
                                  <a:pt x="4349" y="2291"/>
                                  <a:pt x="3989" y="2389"/>
                                </a:cubicBezTo>
                                <a:cubicBezTo>
                                  <a:pt x="3741" y="2232"/>
                                  <a:pt x="3498" y="2079"/>
                                  <a:pt x="3221" y="1904"/>
                                </a:cubicBezTo>
                                <a:cubicBezTo>
                                  <a:pt x="2922" y="2176"/>
                                  <a:pt x="2660" y="2427"/>
                                  <a:pt x="2382" y="2665"/>
                                </a:cubicBezTo>
                                <a:cubicBezTo>
                                  <a:pt x="2135" y="2876"/>
                                  <a:pt x="2125" y="3090"/>
                                  <a:pt x="2231" y="3371"/>
                                </a:cubicBezTo>
                                <a:cubicBezTo>
                                  <a:pt x="3179" y="5877"/>
                                  <a:pt x="4394" y="8283"/>
                                  <a:pt x="5880" y="10593"/>
                                </a:cubicBezTo>
                                <a:cubicBezTo>
                                  <a:pt x="5956" y="10712"/>
                                  <a:pt x="6024" y="10835"/>
                                  <a:pt x="6094" y="10951"/>
                                </a:cubicBezTo>
                                <a:cubicBezTo>
                                  <a:pt x="4046" y="12991"/>
                                  <a:pt x="2019" y="15012"/>
                                  <a:pt x="0" y="17024"/>
                                </a:cubicBezTo>
                                <a:cubicBezTo>
                                  <a:pt x="166" y="17359"/>
                                  <a:pt x="297" y="17644"/>
                                  <a:pt x="450" y="17921"/>
                                </a:cubicBezTo>
                                <a:cubicBezTo>
                                  <a:pt x="559" y="18117"/>
                                  <a:pt x="570" y="18299"/>
                                  <a:pt x="443" y="18491"/>
                                </a:cubicBezTo>
                                <a:cubicBezTo>
                                  <a:pt x="355" y="18625"/>
                                  <a:pt x="277" y="18763"/>
                                  <a:pt x="214" y="18906"/>
                                </a:cubicBezTo>
                                <a:cubicBezTo>
                                  <a:pt x="179" y="18986"/>
                                  <a:pt x="139" y="19096"/>
                                  <a:pt x="175" y="19164"/>
                                </a:cubicBezTo>
                                <a:cubicBezTo>
                                  <a:pt x="462" y="19717"/>
                                  <a:pt x="876" y="20186"/>
                                  <a:pt x="1406" y="20550"/>
                                </a:cubicBezTo>
                                <a:cubicBezTo>
                                  <a:pt x="1668" y="20457"/>
                                  <a:pt x="1862" y="20370"/>
                                  <a:pt x="2068" y="20319"/>
                                </a:cubicBezTo>
                                <a:cubicBezTo>
                                  <a:pt x="2305" y="20259"/>
                                  <a:pt x="2506" y="20384"/>
                                  <a:pt x="2432" y="20567"/>
                                </a:cubicBezTo>
                                <a:cubicBezTo>
                                  <a:pt x="2271" y="20967"/>
                                  <a:pt x="2606" y="21165"/>
                                  <a:pt x="2838" y="21403"/>
                                </a:cubicBezTo>
                                <a:cubicBezTo>
                                  <a:pt x="3027" y="21596"/>
                                  <a:pt x="3335" y="21593"/>
                                  <a:pt x="3548" y="21414"/>
                                </a:cubicBezTo>
                                <a:cubicBezTo>
                                  <a:pt x="3624" y="21350"/>
                                  <a:pt x="3679" y="21268"/>
                                  <a:pt x="3745" y="21195"/>
                                </a:cubicBezTo>
                                <a:cubicBezTo>
                                  <a:pt x="5406" y="19353"/>
                                  <a:pt x="7068" y="17510"/>
                                  <a:pt x="8732" y="15669"/>
                                </a:cubicBezTo>
                                <a:cubicBezTo>
                                  <a:pt x="8850" y="15538"/>
                                  <a:pt x="8982" y="15417"/>
                                  <a:pt x="9151" y="15248"/>
                                </a:cubicBezTo>
                                <a:cubicBezTo>
                                  <a:pt x="9312" y="15457"/>
                                  <a:pt x="9442" y="15618"/>
                                  <a:pt x="9566" y="15782"/>
                                </a:cubicBezTo>
                                <a:cubicBezTo>
                                  <a:pt x="10552" y="17091"/>
                                  <a:pt x="11622" y="18348"/>
                                  <a:pt x="12799" y="19538"/>
                                </a:cubicBezTo>
                                <a:cubicBezTo>
                                  <a:pt x="13137" y="19880"/>
                                  <a:pt x="13363" y="19913"/>
                                  <a:pt x="13764" y="19639"/>
                                </a:cubicBezTo>
                                <a:cubicBezTo>
                                  <a:pt x="14071" y="19429"/>
                                  <a:pt x="14340" y="19181"/>
                                  <a:pt x="14638" y="18942"/>
                                </a:cubicBezTo>
                                <a:cubicBezTo>
                                  <a:pt x="14977" y="19118"/>
                                  <a:pt x="15325" y="19299"/>
                                  <a:pt x="15670" y="19479"/>
                                </a:cubicBezTo>
                                <a:cubicBezTo>
                                  <a:pt x="15874" y="19336"/>
                                  <a:pt x="16024" y="19228"/>
                                  <a:pt x="16179" y="19123"/>
                                </a:cubicBezTo>
                                <a:cubicBezTo>
                                  <a:pt x="16407" y="18969"/>
                                  <a:pt x="16586" y="18817"/>
                                  <a:pt x="16625" y="18532"/>
                                </a:cubicBezTo>
                                <a:cubicBezTo>
                                  <a:pt x="16663" y="18245"/>
                                  <a:pt x="16848" y="17980"/>
                                  <a:pt x="17238" y="17893"/>
                                </a:cubicBezTo>
                                <a:cubicBezTo>
                                  <a:pt x="17537" y="17826"/>
                                  <a:pt x="17736" y="17646"/>
                                  <a:pt x="17893" y="17435"/>
                                </a:cubicBezTo>
                                <a:cubicBezTo>
                                  <a:pt x="18144" y="17098"/>
                                  <a:pt x="18337" y="16737"/>
                                  <a:pt x="18424" y="16377"/>
                                </a:cubicBezTo>
                                <a:cubicBezTo>
                                  <a:pt x="16705" y="14528"/>
                                  <a:pt x="15014" y="12708"/>
                                  <a:pt x="13308" y="10873"/>
                                </a:cubicBezTo>
                                <a:cubicBezTo>
                                  <a:pt x="13494" y="10665"/>
                                  <a:pt x="13612" y="10530"/>
                                  <a:pt x="13734" y="10397"/>
                                </a:cubicBezTo>
                                <a:cubicBezTo>
                                  <a:pt x="15805" y="8137"/>
                                  <a:pt x="18039" y="6000"/>
                                  <a:pt x="20413" y="3968"/>
                                </a:cubicBezTo>
                                <a:cubicBezTo>
                                  <a:pt x="20703" y="3719"/>
                                  <a:pt x="20983" y="3471"/>
                                  <a:pt x="21190" y="3153"/>
                                </a:cubicBezTo>
                                <a:cubicBezTo>
                                  <a:pt x="21585" y="2544"/>
                                  <a:pt x="21600" y="2565"/>
                                  <a:pt x="21129" y="2026"/>
                                </a:cubicBezTo>
                                <a:cubicBezTo>
                                  <a:pt x="20955" y="1827"/>
                                  <a:pt x="20762" y="1776"/>
                                  <a:pt x="20487" y="1772"/>
                                </a:cubicBezTo>
                                <a:cubicBezTo>
                                  <a:pt x="19961" y="1764"/>
                                  <a:pt x="19720" y="1486"/>
                                  <a:pt x="19806" y="1064"/>
                                </a:cubicBezTo>
                                <a:cubicBezTo>
                                  <a:pt x="19825" y="971"/>
                                  <a:pt x="19804" y="847"/>
                                  <a:pt x="19743" y="773"/>
                                </a:cubicBezTo>
                                <a:cubicBezTo>
                                  <a:pt x="19597" y="599"/>
                                  <a:pt x="19434" y="429"/>
                                  <a:pt x="19245" y="289"/>
                                </a:cubicBezTo>
                                <a:cubicBezTo>
                                  <a:pt x="18978" y="92"/>
                                  <a:pt x="18816" y="-4"/>
                                  <a:pt x="18655" y="0"/>
                                </a:cubicBezTo>
                                <a:close/>
                              </a:path>
                            </a:pathLst>
                          </a:custGeom>
                          <a:solidFill>
                            <a:srgbClr val="000000"/>
                          </a:solidFill>
                          <a:ln w="12700" cap="flat">
                            <a:noFill/>
                            <a:miter lim="400000"/>
                          </a:ln>
                          <a:effectLst/>
                        </wps:spPr>
                        <wps:bodyPr/>
                      </wps:wsp>
                    </a:graphicData>
                  </a:graphic>
                </wp:inline>
              </w:drawing>
            </w:r>
            <w:r>
              <w:rPr>
                <w:rFonts w:ascii="Times New Roman" w:hAnsi="Times New Roman"/>
                <w:b w:val="1"/>
                <w:bCs w:val="1"/>
                <w:sz w:val="20"/>
                <w:szCs w:val="20"/>
                <w:shd w:val="nil" w:color="auto" w:fill="auto"/>
                <w:rtl w:val="0"/>
                <w:lang w:val="en-US"/>
              </w:rPr>
              <w:t xml:space="preserve">   (please tick the relevant option)</w:t>
            </w:r>
          </w:p>
        </w:tc>
      </w:tr>
    </w:tbl>
    <w:p>
      <w:pPr>
        <w:pStyle w:val="Body A"/>
        <w:widowControl w:val="0"/>
        <w:spacing w:after="202" w:line="240" w:lineRule="auto"/>
        <w:ind w:left="108" w:hanging="108"/>
        <w:jc w:val="left"/>
        <w:rPr>
          <w:rFonts w:ascii="Times New Roman" w:cs="Times New Roman" w:hAnsi="Times New Roman" w:eastAsia="Times New Roman"/>
          <w:sz w:val="20"/>
          <w:szCs w:val="20"/>
        </w:rPr>
      </w:pPr>
    </w:p>
    <w:p>
      <w:pPr>
        <w:pStyle w:val="Body A"/>
        <w:widowControl w:val="0"/>
        <w:spacing w:after="202" w:line="240" w:lineRule="auto"/>
        <w:ind w:left="0" w:firstLine="0"/>
        <w:rPr>
          <w:rFonts w:ascii="Times New Roman" w:cs="Times New Roman" w:hAnsi="Times New Roman" w:eastAsia="Times New Roman"/>
          <w:sz w:val="20"/>
          <w:szCs w:val="20"/>
        </w:rPr>
      </w:pPr>
    </w:p>
    <w:p>
      <w:pPr>
        <w:pStyle w:val="Body A"/>
      </w:pPr>
    </w:p>
    <w:p>
      <w:pPr>
        <w:pStyle w:val="Body A"/>
      </w:pPr>
      <w:r>
        <w:rPr>
          <w:rFonts w:ascii="Arial Unicode MS" w:cs="Arial Unicode MS" w:hAnsi="Arial Unicode MS" w:eastAsia="Arial Unicode MS"/>
          <w:b w:val="0"/>
          <w:bCs w:val="0"/>
          <w:i w:val="0"/>
          <w:iCs w:val="0"/>
        </w:rPr>
        <w:br w:type="column"/>
      </w:r>
    </w:p>
    <w:p>
      <w:pPr>
        <w:pStyle w:val="Body A"/>
      </w:pPr>
    </w:p>
    <w:p>
      <w:pPr>
        <w:pStyle w:val="Body A"/>
      </w:pPr>
    </w:p>
    <w:tbl>
      <w:tblPr>
        <w:tblW w:w="90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22"/>
        <w:gridCol w:w="2103"/>
        <w:gridCol w:w="2104"/>
        <w:gridCol w:w="1591"/>
      </w:tblGrid>
      <w:tr>
        <w:tblPrEx>
          <w:shd w:val="clear" w:color="auto" w:fill="cad1d7"/>
        </w:tblPrEx>
        <w:trPr>
          <w:trHeight w:val="594" w:hRule="atLeast"/>
        </w:trPr>
        <w:tc>
          <w:tcPr>
            <w:tcW w:type="dxa" w:w="902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41" w:line="242" w:lineRule="auto"/>
              <w:rPr>
                <w:rFonts w:ascii="Times New Roman" w:cs="Times New Roman" w:hAnsi="Times New Roman" w:eastAsia="Times New Roman"/>
                <w:b w:val="1"/>
                <w:bCs w:val="1"/>
                <w:sz w:val="20"/>
                <w:szCs w:val="20"/>
                <w:shd w:val="nil" w:color="auto" w:fill="auto"/>
              </w:rPr>
            </w:pPr>
            <w:r>
              <w:rPr>
                <w:rFonts w:ascii="Times New Roman" w:hAnsi="Times New Roman"/>
                <w:b w:val="1"/>
                <w:bCs w:val="1"/>
                <w:sz w:val="20"/>
                <w:szCs w:val="20"/>
                <w:shd w:val="nil" w:color="auto" w:fill="auto"/>
                <w:rtl w:val="0"/>
                <w:lang w:val="en-US"/>
              </w:rPr>
              <w:t>Signature of authorized person</w:t>
            </w:r>
          </w:p>
          <w:p>
            <w:pPr>
              <w:pStyle w:val="Table Paragraph"/>
              <w:bidi w:val="0"/>
              <w:spacing w:before="141" w:line="242" w:lineRule="auto"/>
              <w:ind w:left="0" w:right="0" w:firstLine="0"/>
              <w:jc w:val="left"/>
              <w:rPr>
                <w:rtl w:val="0"/>
              </w:rPr>
            </w:pPr>
            <w:r>
              <w:rPr>
                <w:rFonts w:ascii="Times New Roman" w:hAnsi="Times New Roman"/>
                <w:b w:val="1"/>
                <w:bCs w:val="1"/>
                <w:sz w:val="20"/>
                <w:szCs w:val="20"/>
                <w:shd w:val="nil" w:color="auto" w:fill="auto"/>
                <w:rtl w:val="0"/>
                <w:lang w:val="en-US"/>
              </w:rPr>
              <w:t>For (Corporate Name)</w:t>
            </w:r>
          </w:p>
        </w:tc>
      </w:tr>
      <w:tr>
        <w:tblPrEx>
          <w:shd w:val="clear" w:color="auto" w:fill="cad1d7"/>
        </w:tblPrEx>
        <w:trPr>
          <w:trHeight w:val="409" w:hRule="atLeast"/>
        </w:trPr>
        <w:tc>
          <w:tcPr>
            <w:tcW w:type="dxa" w:w="3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92" w:lineRule="exact"/>
              <w:rPr>
                <w:rFonts w:ascii="Times New Roman" w:cs="Times New Roman" w:hAnsi="Times New Roman" w:eastAsia="Times New Roman"/>
                <w:sz w:val="20"/>
                <w:szCs w:val="20"/>
                <w:shd w:val="nil" w:color="auto" w:fill="auto"/>
                <w:lang w:val="en-US"/>
              </w:rPr>
            </w:pPr>
          </w:p>
          <w:p>
            <w:pPr>
              <w:pStyle w:val="Table Paragraph"/>
              <w:bidi w:val="0"/>
              <w:spacing w:line="192" w:lineRule="exact"/>
              <w:ind w:left="0" w:right="0" w:firstLine="0"/>
              <w:jc w:val="left"/>
              <w:rPr>
                <w:rtl w:val="0"/>
              </w:rPr>
            </w:pPr>
            <w:r>
              <w:rPr>
                <w:rFonts w:ascii="Times New Roman" w:hAnsi="Times New Roman"/>
                <w:sz w:val="20"/>
                <w:szCs w:val="20"/>
                <w:shd w:val="nil" w:color="auto" w:fill="auto"/>
                <w:rtl w:val="0"/>
                <w:lang w:val="en-US"/>
              </w:rPr>
              <w:t>Name</w:t>
            </w:r>
          </w:p>
        </w:tc>
        <w:tc>
          <w:tcPr>
            <w:tcW w:type="dxa" w:w="2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jc w:val="center"/>
            </w:pPr>
            <w:r>
              <w:rPr>
                <w:rFonts w:ascii="Times New Roman" w:hAnsi="Times New Roman"/>
                <w:sz w:val="20"/>
                <w:szCs w:val="20"/>
                <w:shd w:val="nil" w:color="auto" w:fill="auto"/>
                <w:rtl w:val="0"/>
                <w:lang w:val="en-US"/>
              </w:rPr>
              <w:t>For Office use only</w:t>
            </w:r>
          </w:p>
        </w:tc>
        <w:tc>
          <w:tcPr>
            <w:tcW w:type="dxa" w:w="2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jc w:val="center"/>
            </w:pPr>
            <w:r>
              <w:rPr>
                <w:rFonts w:ascii="Times New Roman" w:hAnsi="Times New Roman"/>
                <w:sz w:val="20"/>
                <w:szCs w:val="20"/>
                <w:shd w:val="nil" w:color="auto" w:fill="auto"/>
                <w:rtl w:val="0"/>
                <w:lang w:val="en-US"/>
              </w:rPr>
              <w:t>Checked By</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80"/>
            </w:tcMar>
            <w:vAlign w:val="top"/>
          </w:tcPr>
          <w:p>
            <w:pPr>
              <w:pStyle w:val="Body A"/>
              <w:jc w:val="center"/>
            </w:pPr>
            <w:r>
              <w:rPr>
                <w:rFonts w:ascii="Times New Roman" w:hAnsi="Times New Roman"/>
                <w:sz w:val="20"/>
                <w:szCs w:val="20"/>
                <w:shd w:val="nil" w:color="auto" w:fill="auto"/>
                <w:rtl w:val="0"/>
                <w:lang w:val="en-US"/>
              </w:rPr>
              <w:t>Authorised By</w:t>
            </w:r>
          </w:p>
        </w:tc>
      </w:tr>
      <w:tr>
        <w:tblPrEx>
          <w:shd w:val="clear" w:color="auto" w:fill="cad1d7"/>
        </w:tblPrEx>
        <w:trPr>
          <w:trHeight w:val="459" w:hRule="atLeast"/>
        </w:trPr>
        <w:tc>
          <w:tcPr>
            <w:tcW w:type="dxa" w:w="3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line="192" w:lineRule="exact"/>
            </w:pPr>
            <w:r>
              <w:rPr>
                <w:rFonts w:ascii="Times New Roman" w:hAnsi="Times New Roman"/>
                <w:sz w:val="20"/>
                <w:szCs w:val="20"/>
                <w:shd w:val="nil" w:color="auto" w:fill="auto"/>
                <w:rtl w:val="0"/>
                <w:lang w:val="en-US"/>
              </w:rPr>
              <w:t>Designation</w:t>
            </w:r>
          </w:p>
        </w:tc>
        <w:tc>
          <w:tcPr>
            <w:tcW w:type="dxa" w:w="2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80"/>
            </w:tcMar>
            <w:vAlign w:val="top"/>
          </w:tcPr>
          <w:p>
            <w:pPr>
              <w:pStyle w:val="Body A"/>
              <w:jc w:val="center"/>
            </w:pPr>
            <w:r>
              <w:rPr>
                <w:rFonts w:ascii="Times New Roman" w:hAnsi="Times New Roman"/>
                <w:sz w:val="20"/>
                <w:szCs w:val="20"/>
                <w:shd w:val="nil" w:color="auto" w:fill="auto"/>
                <w:rtl w:val="0"/>
                <w:lang w:val="en-US"/>
              </w:rPr>
              <w:t>Name</w:t>
            </w:r>
          </w:p>
        </w:tc>
        <w:tc>
          <w:tcPr>
            <w:tcW w:type="dxa" w:w="2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459" w:hRule="atLeast"/>
        </w:trPr>
        <w:tc>
          <w:tcPr>
            <w:tcW w:type="dxa" w:w="3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line="192" w:lineRule="exact"/>
            </w:pPr>
            <w:r>
              <w:rPr>
                <w:rFonts w:ascii="Times New Roman" w:hAnsi="Times New Roman"/>
                <w:sz w:val="20"/>
                <w:szCs w:val="20"/>
                <w:shd w:val="nil" w:color="auto" w:fill="auto"/>
                <w:rtl w:val="0"/>
                <w:lang w:val="en-US"/>
              </w:rPr>
              <w:t>Signature</w:t>
            </w:r>
          </w:p>
        </w:tc>
        <w:tc>
          <w:tcPr>
            <w:tcW w:type="dxa" w:w="2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jc w:val="center"/>
            </w:pPr>
            <w:r>
              <w:rPr>
                <w:rFonts w:ascii="Times New Roman" w:hAnsi="Times New Roman"/>
                <w:sz w:val="20"/>
                <w:szCs w:val="20"/>
                <w:shd w:val="nil" w:color="auto" w:fill="auto"/>
                <w:rtl w:val="0"/>
                <w:lang w:val="en-US"/>
              </w:rPr>
              <w:t>Signature</w:t>
            </w:r>
          </w:p>
        </w:tc>
        <w:tc>
          <w:tcPr>
            <w:tcW w:type="dxa" w:w="2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jc w:val="left"/>
      </w:pPr>
    </w:p>
    <w:p>
      <w:pPr>
        <w:pStyle w:val="Body A"/>
        <w:widowControl w:val="0"/>
        <w:spacing w:line="240" w:lineRule="auto"/>
        <w:ind w:left="0" w:firstLine="0"/>
      </w:pPr>
    </w:p>
    <w:p>
      <w:pPr>
        <w:pStyle w:val="Body A"/>
        <w:spacing w:after="301" w:line="259" w:lineRule="auto"/>
        <w:ind w:left="0" w:firstLine="0"/>
        <w:jc w:val="left"/>
        <w:rPr>
          <w:rFonts w:ascii="Times New Roman" w:cs="Times New Roman" w:hAnsi="Times New Roman" w:eastAsia="Times New Roman"/>
          <w:sz w:val="20"/>
          <w:szCs w:val="20"/>
        </w:rPr>
      </w:pPr>
    </w:p>
    <w:p>
      <w:pPr>
        <w:pStyle w:val="Body A"/>
        <w:sectPr>
          <w:headerReference w:type="default" r:id="rId4"/>
          <w:footerReference w:type="default" r:id="rId5"/>
          <w:pgSz w:w="11900" w:h="16840" w:orient="portrait"/>
          <w:pgMar w:top="1440" w:right="1440" w:bottom="426" w:left="1440" w:header="720" w:footer="720"/>
          <w:bidi w:val="0"/>
        </w:sectPr>
      </w:pPr>
    </w:p>
    <w:p>
      <w:pPr>
        <w:pStyle w:val="Body A"/>
        <w:ind w:left="720" w:firstLine="0"/>
        <w:rPr>
          <w:rFonts w:ascii="Times New Roman" w:cs="Times New Roman" w:hAnsi="Times New Roman" w:eastAsia="Times New Roman"/>
          <w:sz w:val="20"/>
          <w:szCs w:val="20"/>
        </w:rPr>
      </w:pPr>
      <w:r>
        <w:rPr>
          <w:rFonts w:ascii="Times New Roman" w:hAnsi="Times New Roman"/>
          <w:sz w:val="20"/>
          <w:szCs w:val="20"/>
          <w:rtl w:val="0"/>
          <w:lang w:val="en-US"/>
        </w:rPr>
        <w:t>By signing the Application (Corporate) Form- the Corporate agrees and acknowledges that, the Company</w:t>
      </w:r>
      <w:r>
        <w:rPr>
          <w:rFonts w:ascii="Times New Roman" w:hAnsi="Times New Roman" w:hint="default"/>
          <w:sz w:val="20"/>
          <w:szCs w:val="20"/>
          <w:rtl w:val="0"/>
          <w:lang w:val="en-US"/>
        </w:rPr>
        <w:t>’</w:t>
      </w:r>
      <w:r>
        <w:rPr>
          <w:rFonts w:ascii="Times New Roman" w:hAnsi="Times New Roman"/>
          <w:sz w:val="20"/>
          <w:szCs w:val="20"/>
          <w:rtl w:val="0"/>
          <w:lang w:val="en-US"/>
        </w:rPr>
        <w:t>s usage of the Corporate Expense Card is subject to these terms and conditions (</w:t>
      </w:r>
      <w:r>
        <w:rPr>
          <w:rFonts w:ascii="Times New Roman" w:hAnsi="Times New Roman" w:hint="default"/>
          <w:sz w:val="20"/>
          <w:szCs w:val="20"/>
          <w:rtl w:val="0"/>
          <w:lang w:val="en-US"/>
        </w:rPr>
        <w:t>“</w:t>
      </w:r>
      <w:r>
        <w:rPr>
          <w:rFonts w:ascii="Times New Roman" w:hAnsi="Times New Roman"/>
          <w:b w:val="1"/>
          <w:bCs w:val="1"/>
          <w:sz w:val="20"/>
          <w:szCs w:val="20"/>
          <w:rtl w:val="0"/>
          <w:lang w:val="en-US"/>
        </w:rPr>
        <w:t>Terms and Conditions</w:t>
      </w:r>
      <w:r>
        <w:rPr>
          <w:rFonts w:ascii="Times New Roman" w:hAnsi="Times New Roman" w:hint="default"/>
          <w:sz w:val="20"/>
          <w:szCs w:val="20"/>
          <w:rtl w:val="0"/>
          <w:lang w:val="en-US"/>
        </w:rPr>
        <w:t>”</w:t>
      </w:r>
      <w:r>
        <w:rPr>
          <w:rFonts w:ascii="Times New Roman" w:hAnsi="Times New Roman"/>
          <w:sz w:val="20"/>
          <w:szCs w:val="20"/>
          <w:rtl w:val="0"/>
          <w:lang w:val="en-US"/>
        </w:rPr>
        <w:t>), the Corporate further agrees and acknowledges that the Terms and Conditions forma a valid and binding agreement between the Corporate and Pine Labs.</w:t>
      </w:r>
    </w:p>
    <w:p>
      <w:pPr>
        <w:pStyle w:val="Body A"/>
        <w:numPr>
          <w:ilvl w:val="0"/>
          <w:numId w:val="2"/>
        </w:numPr>
        <w:bidi w:val="0"/>
        <w:spacing w:after="0" w:line="240" w:lineRule="auto"/>
        <w:ind w:right="0"/>
        <w:jc w:val="both"/>
        <w:rPr>
          <w:rFonts w:ascii="Times New Roman" w:hAnsi="Times New Roman"/>
          <w:b w:val="1"/>
          <w:bCs w:val="1"/>
          <w:sz w:val="20"/>
          <w:szCs w:val="20"/>
          <w:rtl w:val="0"/>
          <w:lang w:val="de-DE"/>
        </w:rPr>
      </w:pPr>
      <w:r>
        <w:rPr>
          <w:rFonts w:ascii="Times New Roman" w:hAnsi="Times New Roman"/>
          <w:b w:val="1"/>
          <w:bCs w:val="1"/>
          <w:sz w:val="20"/>
          <w:szCs w:val="20"/>
          <w:rtl w:val="0"/>
          <w:lang w:val="de-DE"/>
        </w:rPr>
        <w:t>DEFINED TERMS</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en-US"/>
        </w:rPr>
        <w:t>Applicable Law</w:t>
      </w:r>
      <w:r>
        <w:rPr>
          <w:rFonts w:ascii="Times New Roman" w:hAnsi="Times New Roman" w:hint="default"/>
          <w:sz w:val="20"/>
          <w:szCs w:val="20"/>
          <w:rtl w:val="0"/>
          <w:lang w:val="en-US"/>
        </w:rPr>
        <w:t xml:space="preserve">” </w:t>
      </w:r>
      <w:r>
        <w:rPr>
          <w:rFonts w:ascii="Times New Roman" w:hAnsi="Times New Roman"/>
          <w:sz w:val="20"/>
          <w:szCs w:val="20"/>
          <w:rtl w:val="0"/>
          <w:lang w:val="en-US"/>
        </w:rPr>
        <w:t>means and includes all applicable statutes, enactments or acts of any legislative body in India, law, ordinances, rules, by-laws, regulations, notifications, guidelines, policies, directions, directives and orders of any governmental authority and any modifications or re-enactments thereof;</w:t>
      </w: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en-US"/>
        </w:rPr>
        <w:t>Cards</w:t>
      </w:r>
      <w:r>
        <w:rPr>
          <w:rFonts w:ascii="Times New Roman" w:hAnsi="Times New Roman" w:hint="default"/>
          <w:sz w:val="20"/>
          <w:szCs w:val="20"/>
          <w:rtl w:val="0"/>
          <w:lang w:val="en-US"/>
        </w:rPr>
        <w:t xml:space="preserve">” </w:t>
      </w:r>
      <w:r>
        <w:rPr>
          <w:rFonts w:ascii="Times New Roman" w:hAnsi="Times New Roman"/>
          <w:sz w:val="20"/>
          <w:szCs w:val="20"/>
          <w:rtl w:val="0"/>
          <w:lang w:val="en-US"/>
        </w:rPr>
        <w:t>means, as prepaid cards issued by Pine Labs Limited as may be determined by Pine Labs Limited (</w:t>
      </w:r>
      <w:r>
        <w:rPr>
          <w:rFonts w:ascii="Times New Roman" w:hAnsi="Times New Roman" w:hint="default"/>
          <w:sz w:val="20"/>
          <w:szCs w:val="20"/>
          <w:rtl w:val="0"/>
          <w:lang w:val="en-US"/>
        </w:rPr>
        <w:t>“</w:t>
      </w:r>
      <w:r>
        <w:rPr>
          <w:rFonts w:ascii="Times New Roman" w:hAnsi="Times New Roman"/>
          <w:b w:val="1"/>
          <w:bCs w:val="1"/>
          <w:sz w:val="20"/>
          <w:szCs w:val="20"/>
          <w:rtl w:val="0"/>
          <w:lang w:val="de-DE"/>
        </w:rPr>
        <w:t>Pine Labs</w:t>
      </w:r>
      <w:r>
        <w:rPr>
          <w:rFonts w:ascii="Times New Roman" w:hAnsi="Times New Roman" w:hint="default"/>
          <w:sz w:val="20"/>
          <w:szCs w:val="20"/>
          <w:rtl w:val="0"/>
          <w:lang w:val="en-US"/>
        </w:rPr>
        <w:t>”</w:t>
      </w:r>
      <w:r>
        <w:rPr>
          <w:rFonts w:ascii="Times New Roman" w:hAnsi="Times New Roman"/>
          <w:sz w:val="20"/>
          <w:szCs w:val="20"/>
          <w:rtl w:val="0"/>
          <w:lang w:val="en-US"/>
        </w:rPr>
        <w:t xml:space="preserve">). These Cards are reloadable in nature; </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da-DK"/>
        </w:rPr>
        <w:t>Cardholder</w:t>
      </w:r>
      <w:r>
        <w:rPr>
          <w:rFonts w:ascii="Times New Roman" w:hAnsi="Times New Roman" w:hint="default"/>
          <w:sz w:val="20"/>
          <w:szCs w:val="20"/>
          <w:rtl w:val="0"/>
          <w:lang w:val="en-US"/>
        </w:rPr>
        <w:t xml:space="preserve">” </w:t>
      </w:r>
      <w:r>
        <w:rPr>
          <w:rFonts w:ascii="Times New Roman" w:hAnsi="Times New Roman"/>
          <w:sz w:val="20"/>
          <w:szCs w:val="20"/>
          <w:rtl w:val="0"/>
          <w:lang w:val="en-US"/>
        </w:rPr>
        <w:t>shall mean the Corporate or the individual employees/ associate/ officers of the Corporate to whom the PPI issuer i.e. Pine Labs has issued Card/(s);</w:t>
      </w:r>
    </w:p>
    <w:p>
      <w:pPr>
        <w:pStyle w:val="List Paragraph"/>
        <w:rPr>
          <w:sz w:val="20"/>
          <w:szCs w:val="20"/>
        </w:rPr>
      </w:pP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en-US"/>
        </w:rPr>
        <w:t>Corporate</w:t>
      </w:r>
      <w:r>
        <w:rPr>
          <w:rFonts w:ascii="Times New Roman" w:hAnsi="Times New Roman" w:hint="default"/>
          <w:sz w:val="20"/>
          <w:szCs w:val="20"/>
          <w:rtl w:val="0"/>
          <w:lang w:val="en-US"/>
        </w:rPr>
        <w:t xml:space="preserve">” </w:t>
      </w:r>
      <w:r>
        <w:rPr>
          <w:rFonts w:ascii="Times New Roman" w:hAnsi="Times New Roman"/>
          <w:sz w:val="20"/>
          <w:szCs w:val="20"/>
          <w:rtl w:val="0"/>
          <w:lang w:val="en-US"/>
        </w:rPr>
        <w:t>means the body corporate to whose employees/ officers/ associates, Pine Labs will issue the Cards pursuant to these terms and conditions;</w:t>
      </w:r>
    </w:p>
    <w:p>
      <w:pPr>
        <w:pStyle w:val="List Paragraph"/>
        <w:rPr>
          <w:sz w:val="20"/>
          <w:szCs w:val="20"/>
        </w:rPr>
      </w:pP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en-US"/>
        </w:rPr>
        <w:t>Enrolment Fees</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means the fee payable by the Corporate to Pine Labs at the time of issuance of each Card to a Cardholder; </w:t>
      </w: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en-US"/>
        </w:rPr>
        <w:t>KYC</w:t>
      </w:r>
      <w:r>
        <w:rPr>
          <w:rFonts w:ascii="Times New Roman" w:hAnsi="Times New Roman" w:hint="default"/>
          <w:sz w:val="20"/>
          <w:szCs w:val="20"/>
          <w:rtl w:val="0"/>
          <w:lang w:val="en-US"/>
        </w:rPr>
        <w:t xml:space="preserve">” </w:t>
      </w:r>
      <w:r>
        <w:rPr>
          <w:rFonts w:ascii="Times New Roman" w:hAnsi="Times New Roman"/>
          <w:sz w:val="20"/>
          <w:szCs w:val="20"/>
          <w:rtl w:val="0"/>
          <w:lang w:val="en-US"/>
        </w:rPr>
        <w:t>shall have the meaning assigned to such term in Clause2.2 (Application for and Issuance of Co-Brand Prepaid Cards) below;</w:t>
      </w:r>
    </w:p>
    <w:p>
      <w:pPr>
        <w:pStyle w:val="List Paragraph"/>
        <w:rPr>
          <w:sz w:val="20"/>
          <w:szCs w:val="20"/>
        </w:rPr>
      </w:pP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nl-NL"/>
        </w:rPr>
        <w:t>KYC Guidelines</w:t>
      </w:r>
      <w:r>
        <w:rPr>
          <w:rFonts w:ascii="Times New Roman" w:hAnsi="Times New Roman" w:hint="default"/>
          <w:sz w:val="20"/>
          <w:szCs w:val="20"/>
          <w:rtl w:val="0"/>
          <w:lang w:val="en-US"/>
        </w:rPr>
        <w:t xml:space="preserve">” </w:t>
      </w:r>
      <w:r>
        <w:rPr>
          <w:rFonts w:ascii="Times New Roman" w:hAnsi="Times New Roman"/>
          <w:sz w:val="20"/>
          <w:szCs w:val="20"/>
          <w:rtl w:val="0"/>
          <w:lang w:val="en-US"/>
        </w:rPr>
        <w:t>means the Reserve Bank of India master direction Master Direction - Know Your Customer (KYC) Direction, 2016 (Updated as on May 04, 2023) and all other applicable 'know your customer' directions or guidelines issued by the Reserve Bank of India, in each case as the same may be modified, supplemented or restated, from time to time;</w:t>
      </w:r>
    </w:p>
    <w:p>
      <w:pPr>
        <w:pStyle w:val="List Paragraph"/>
        <w:rPr>
          <w:sz w:val="20"/>
          <w:szCs w:val="20"/>
        </w:rPr>
      </w:pPr>
    </w:p>
    <w:p>
      <w:pPr>
        <w:pStyle w:val="Body A"/>
        <w:numPr>
          <w:ilvl w:val="1"/>
          <w:numId w:val="2"/>
        </w:numPr>
        <w:bidi w:val="0"/>
        <w:spacing w:after="0" w:line="240" w:lineRule="auto"/>
        <w:ind w:right="0"/>
        <w:jc w:val="both"/>
        <w:rPr>
          <w:rFonts w:ascii="Times New Roman" w:hAnsi="Times New Roman" w:hint="default"/>
          <w:sz w:val="20"/>
          <w:szCs w:val="20"/>
          <w:rtl w:val="0"/>
          <w:lang w:val="en-US"/>
        </w:rPr>
      </w:pPr>
      <w:r>
        <w:rPr>
          <w:rFonts w:ascii="Times New Roman" w:hAnsi="Times New Roman" w:hint="default"/>
          <w:sz w:val="20"/>
          <w:szCs w:val="20"/>
          <w:rtl w:val="0"/>
          <w:lang w:val="en-US"/>
        </w:rPr>
        <w:t>“</w:t>
      </w:r>
      <w:r>
        <w:rPr>
          <w:rFonts w:ascii="Times New Roman" w:hAnsi="Times New Roman"/>
          <w:b w:val="1"/>
          <w:bCs w:val="1"/>
          <w:sz w:val="20"/>
          <w:szCs w:val="20"/>
          <w:rtl w:val="0"/>
          <w:lang w:val="en-US"/>
        </w:rPr>
        <w:t>PPI Master Directions</w:t>
      </w:r>
      <w:r>
        <w:rPr>
          <w:rFonts w:ascii="Times New Roman" w:hAnsi="Times New Roman" w:hint="default"/>
          <w:sz w:val="20"/>
          <w:szCs w:val="20"/>
          <w:rtl w:val="0"/>
          <w:lang w:val="en-US"/>
        </w:rPr>
        <w:t xml:space="preserve">” </w:t>
      </w:r>
      <w:r>
        <w:rPr>
          <w:rFonts w:ascii="Times New Roman" w:hAnsi="Times New Roman"/>
          <w:sz w:val="20"/>
          <w:szCs w:val="20"/>
          <w:rtl w:val="0"/>
          <w:lang w:val="en-US"/>
        </w:rPr>
        <w:t>means the master direction issued by the Reserve Bank of India titled Master Directions on Prepaid Payment Instruments (PPIs) (Updated as on December 27, 2024) and reference to any other related circulars;</w:t>
      </w:r>
    </w:p>
    <w:p>
      <w:pPr>
        <w:pStyle w:val="Body A"/>
        <w:spacing w:after="0" w:line="240" w:lineRule="auto"/>
        <w:ind w:left="0" w:firstLine="0"/>
        <w:rPr>
          <w:rFonts w:ascii="Times New Roman" w:cs="Times New Roman" w:hAnsi="Times New Roman" w:eastAsia="Times New Roman"/>
          <w:sz w:val="20"/>
          <w:szCs w:val="20"/>
        </w:rPr>
      </w:pPr>
    </w:p>
    <w:p>
      <w:pPr>
        <w:pStyle w:val="Body A"/>
        <w:numPr>
          <w:ilvl w:val="0"/>
          <w:numId w:val="2"/>
        </w:numPr>
        <w:bidi w:val="0"/>
        <w:spacing w:after="0" w:line="240"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APPLICATION FOR ISSUANCE OF CARDS</w:t>
      </w:r>
    </w:p>
    <w:p>
      <w:pPr>
        <w:pStyle w:val="Body A"/>
        <w:spacing w:after="0" w:line="240" w:lineRule="auto"/>
        <w:ind w:left="720" w:firstLine="0"/>
        <w:rPr>
          <w:rFonts w:ascii="Times New Roman" w:cs="Times New Roman" w:hAnsi="Times New Roman" w:eastAsia="Times New Roman"/>
          <w:b w:val="1"/>
          <w:bCs w:val="1"/>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Pine Labs hereby agrees to provide to the Corporate, the Cards in the manner and subject to the terms and conditions contained herein. The Corporate may choose to apply for the issuance of Cards which are being issued by Pine Labs, the features of the Cards, as determined by Pine Labs, from time to time. </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The Corporate acknowledges and agrees that it shall provide to Pine Labs all documents as Pine Labs may require to conduct its 'know your customer' (</w:t>
      </w:r>
      <w:r>
        <w:rPr>
          <w:rFonts w:ascii="Times New Roman" w:hAnsi="Times New Roman" w:hint="default"/>
          <w:sz w:val="20"/>
          <w:szCs w:val="20"/>
          <w:rtl w:val="0"/>
          <w:lang w:val="en-US"/>
        </w:rPr>
        <w:t>“</w:t>
      </w:r>
      <w:r>
        <w:rPr>
          <w:rFonts w:ascii="Times New Roman" w:hAnsi="Times New Roman"/>
          <w:sz w:val="20"/>
          <w:szCs w:val="20"/>
          <w:rtl w:val="0"/>
          <w:lang w:val="en-US"/>
        </w:rPr>
        <w:t>KYC</w:t>
      </w:r>
      <w:r>
        <w:rPr>
          <w:rFonts w:ascii="Times New Roman" w:hAnsi="Times New Roman" w:hint="default"/>
          <w:sz w:val="20"/>
          <w:szCs w:val="20"/>
          <w:rtl w:val="0"/>
          <w:lang w:val="en-US"/>
        </w:rPr>
        <w:t>”</w:t>
      </w:r>
      <w:r>
        <w:rPr>
          <w:rFonts w:ascii="Times New Roman" w:hAnsi="Times New Roman"/>
          <w:sz w:val="20"/>
          <w:szCs w:val="20"/>
          <w:rtl w:val="0"/>
          <w:lang w:val="en-US"/>
        </w:rPr>
        <w:t xml:space="preserve">) checks as well as all application forms, and any other documents (whether at the Corporate required by Pine Labs for the issuance of the Cards. </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The Corporate acknowledges that the issuance of the Card shall be the sole prerogative of Pine Labs, and nothing contained in these Terms and Conditions should be construed as obliging Pine Labs to issue the Cards to any person.</w:t>
      </w: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The Corporate hereby explicitly authorises Peko Platforms Private Limited to share the transactional data relating to the Corporate Expense Prepaid Card of the Cardholder/(s) with Pinelabs (Technical Service Provider /Cobrand Partner) for the purpose of providing technical services to the designate Cardholders as authorised by the Corporate.  </w:t>
      </w:r>
    </w:p>
    <w:p>
      <w:pPr>
        <w:pStyle w:val="Body A"/>
        <w:spacing w:after="0" w:line="240" w:lineRule="auto"/>
        <w:ind w:left="720" w:firstLine="0"/>
        <w:rPr>
          <w:rFonts w:ascii="Times New Roman" w:cs="Times New Roman" w:hAnsi="Times New Roman" w:eastAsia="Times New Roman"/>
          <w:b w:val="1"/>
          <w:bCs w:val="1"/>
          <w:sz w:val="20"/>
          <w:szCs w:val="20"/>
        </w:rPr>
      </w:pPr>
    </w:p>
    <w:p>
      <w:pPr>
        <w:pStyle w:val="Body A"/>
        <w:numPr>
          <w:ilvl w:val="0"/>
          <w:numId w:val="2"/>
        </w:numPr>
        <w:bidi w:val="0"/>
        <w:spacing w:after="0" w:line="240"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OBLIGATIONS OF CORPORATE</w:t>
      </w:r>
    </w:p>
    <w:p>
      <w:pPr>
        <w:pStyle w:val="Body A"/>
        <w:spacing w:after="0" w:line="240" w:lineRule="auto"/>
        <w:ind w:left="720" w:firstLine="0"/>
        <w:rPr>
          <w:rFonts w:ascii="Times New Roman" w:cs="Times New Roman" w:hAnsi="Times New Roman" w:eastAsia="Times New Roman"/>
          <w:b w:val="1"/>
          <w:bCs w:val="1"/>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The Cards shall not be utilised for any third-party project by will or venture without the prior written consent of Pine Labs. </w:t>
      </w:r>
    </w:p>
    <w:p>
      <w:pPr>
        <w:pStyle w:val="Body A"/>
        <w:spacing w:after="0"/>
        <w:ind w:left="720" w:hanging="1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The Corporate shall make prompt payment of the Fees to Pine Labs in accordance with the terms of the Annexures A. </w:t>
      </w:r>
    </w:p>
    <w:p>
      <w:pPr>
        <w:pStyle w:val="Body A A"/>
        <w:widowControl w:val="0"/>
        <w:spacing w:after="0" w:line="240" w:lineRule="auto"/>
        <w:ind w:left="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The Corporate shall transfer monies in advance to Pine Labs Limited by way of online remittance payable at in favour of Pine Labs Ltd to enable instant loading/reloading of funds on the Card on the request of the Cardholder for the value that is authorised by the Corporate. </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The Corporate shall ensure that, only payments from bank accounts based out of India against the procurement and loading of the Cards. No payments shall be made in cash. </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All payments made by the Corporate shall be made in Indian Rupees. </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The Corporate shall be solely responsible and liable to settle any dispute between the Cardholder and the Corporate in respect of the use of the Card or otherwise including, without limitation, disputes regarding the balance amount available on the Card and Pine Labs shall not be responsible for the same and/or obliged to take cognizance of any such dispute. It is clarified that the existence of any such dispute shall not, in any manner, prejudice the obligations of the Corporate under these Terms and Conditions.</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In the event the Card(s) is delivered by Pine Labs to the Corporate, the Corporate shall keep the Cards in safe custody and shall deliver the same promptly to the Cardholder/(s) and Pine Labs will not be responsible for any non-delivery of the Card to the Cardholder or any loss/ misuse of the Card in such a case. </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In the event of a Card being lost or stolen a new physical card maybe issued with new card credentials and a fresh expiry date. </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Corporate to ensure that the Cards are used only in accordance with its terms and conditions. </w:t>
      </w:r>
    </w:p>
    <w:p>
      <w:pPr>
        <w:pStyle w:val="Body A"/>
        <w:spacing w:after="0" w:line="240" w:lineRule="auto"/>
        <w:ind w:left="0" w:firstLine="0"/>
        <w:rPr>
          <w:rFonts w:ascii="Times New Roman" w:cs="Times New Roman" w:hAnsi="Times New Roman" w:eastAsia="Times New Roman"/>
          <w:sz w:val="20"/>
          <w:szCs w:val="20"/>
        </w:rPr>
      </w:pPr>
    </w:p>
    <w:p>
      <w:pPr>
        <w:pStyle w:val="Body A"/>
        <w:numPr>
          <w:ilvl w:val="0"/>
          <w:numId w:val="2"/>
        </w:numPr>
        <w:bidi w:val="0"/>
        <w:spacing w:after="0" w:line="240"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WARRANTIES &amp; COVENANTS</w:t>
      </w:r>
    </w:p>
    <w:p>
      <w:pPr>
        <w:pStyle w:val="Body A"/>
        <w:spacing w:after="0" w:line="240" w:lineRule="auto"/>
        <w:ind w:left="720" w:firstLine="0"/>
        <w:rPr>
          <w:rFonts w:ascii="Times New Roman" w:cs="Times New Roman" w:hAnsi="Times New Roman" w:eastAsia="Times New Roman"/>
          <w:b w:val="1"/>
          <w:bCs w:val="1"/>
          <w:sz w:val="20"/>
          <w:szCs w:val="20"/>
        </w:rPr>
      </w:pPr>
    </w:p>
    <w:p>
      <w:pPr>
        <w:pStyle w:val="Body A"/>
        <w:spacing w:after="0" w:line="240" w:lineRule="auto"/>
        <w:ind w:left="720" w:firstLine="0"/>
        <w:rPr>
          <w:rFonts w:ascii="Times New Roman" w:cs="Times New Roman" w:hAnsi="Times New Roman" w:eastAsia="Times New Roman"/>
          <w:sz w:val="20"/>
          <w:szCs w:val="20"/>
        </w:rPr>
      </w:pPr>
      <w:r>
        <w:rPr>
          <w:rFonts w:ascii="Times New Roman" w:hAnsi="Times New Roman"/>
          <w:sz w:val="20"/>
          <w:szCs w:val="20"/>
          <w:rtl w:val="0"/>
          <w:lang w:val="en-US"/>
        </w:rPr>
        <w:t>Each Party hereby represents and warrants to the other as follows:</w:t>
      </w:r>
    </w:p>
    <w:p>
      <w:pPr>
        <w:pStyle w:val="Body A"/>
        <w:spacing w:after="0" w:line="240" w:lineRule="auto"/>
        <w:ind w:left="720" w:firstLine="0"/>
        <w:rPr>
          <w:rFonts w:ascii="Times New Roman" w:cs="Times New Roman" w:hAnsi="Times New Roman" w:eastAsia="Times New Roman"/>
          <w:b w:val="1"/>
          <w:bCs w:val="1"/>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That it is a company duly organized, validly existing and in good standing under the laws of India and has the mandate and authority to execute and deliver these Terms and Conditions and to execute the terms contemplated hereby and that, the signatories to these Terms and Conditions have the respective mandate from each Party for executing and delivering these Terms and Conditions. </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To the best of its knowledge and except as provided herein, no filing with, and no permit, authorization, consent or approval of, any statutory or public body or any other third party is a pre-requisite for the execution of these Terms and Conditions and the terms contained herein. </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The execution and delivery of these Terms and Conditions and the fulfilment of the terms or compliance by it with any of provisions hereof will not result in:</w:t>
      </w:r>
    </w:p>
    <w:p>
      <w:pPr>
        <w:pStyle w:val="Body A"/>
        <w:rPr>
          <w:rFonts w:ascii="Times New Roman" w:cs="Times New Roman" w:hAnsi="Times New Roman" w:eastAsia="Times New Roman"/>
          <w:sz w:val="20"/>
          <w:szCs w:val="20"/>
        </w:rPr>
      </w:pPr>
    </w:p>
    <w:p>
      <w:pPr>
        <w:pStyle w:val="Body A"/>
        <w:numPr>
          <w:ilvl w:val="2"/>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conflict or breach of any provisions of its Memorandum or Articles of Association;</w:t>
      </w:r>
    </w:p>
    <w:p>
      <w:pPr>
        <w:pStyle w:val="Body A"/>
        <w:numPr>
          <w:ilvl w:val="2"/>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Violation or breach of, or constitute a default or give rise to any right to termination under, any of the terms, conditions or provisions of any contract or obligation to which it is a party or by which it or any of its properties or assets may be bound; or</w:t>
      </w:r>
    </w:p>
    <w:p>
      <w:pPr>
        <w:pStyle w:val="Body A"/>
        <w:numPr>
          <w:ilvl w:val="2"/>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Violation of any order, writ, injunction, decree, statute, rule or regulation applicable to it.</w:t>
      </w:r>
    </w:p>
    <w:p>
      <w:pPr>
        <w:pStyle w:val="Body A"/>
        <w:ind w:left="720" w:hanging="10"/>
        <w:rPr>
          <w:rFonts w:ascii="Times New Roman" w:cs="Times New Roman" w:hAnsi="Times New Roman" w:eastAsia="Times New Roman"/>
          <w:sz w:val="20"/>
          <w:szCs w:val="20"/>
        </w:rPr>
      </w:pPr>
    </w:p>
    <w:p>
      <w:pPr>
        <w:pStyle w:val="Body A"/>
        <w:numPr>
          <w:ilvl w:val="0"/>
          <w:numId w:val="2"/>
        </w:numPr>
        <w:bidi w:val="0"/>
        <w:spacing w:after="0" w:line="240" w:lineRule="auto"/>
        <w:ind w:right="0"/>
        <w:jc w:val="both"/>
        <w:rPr>
          <w:rFonts w:ascii="Times New Roman" w:hAnsi="Times New Roman"/>
          <w:sz w:val="20"/>
          <w:szCs w:val="20"/>
          <w:rtl w:val="0"/>
          <w:lang w:val="pt-PT"/>
        </w:rPr>
      </w:pPr>
      <w:r>
        <w:rPr>
          <w:rFonts w:ascii="Times New Roman" w:hAnsi="Times New Roman"/>
          <w:b w:val="1"/>
          <w:bCs w:val="1"/>
          <w:sz w:val="20"/>
          <w:szCs w:val="20"/>
          <w:rtl w:val="0"/>
          <w:lang w:val="pt-PT"/>
        </w:rPr>
        <w:t>INDEMNITY</w:t>
      </w: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AND LIMITATION OF LIABILITY</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Corporate hereby indemnifies and agrees to keep indemnified and hold harmless Pine Labs from and against any and all claims arising out of these terms and conditions.</w:t>
      </w:r>
    </w:p>
    <w:p>
      <w:pPr>
        <w:pStyle w:val="Body A"/>
        <w:spacing w:after="0" w:line="240" w:lineRule="auto"/>
        <w:ind w:left="720" w:firstLine="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outline w:val="0"/>
          <w:color w:val="000000"/>
          <w:sz w:val="20"/>
          <w:szCs w:val="20"/>
          <w:rtl w:val="0"/>
          <w:lang w:val="en-US"/>
          <w14:textFill>
            <w14:solidFill>
              <w14:srgbClr w14:val="000000"/>
            </w14:solidFill>
          </w14:textFill>
        </w:rPr>
      </w:pPr>
      <w:r>
        <w:rPr>
          <w:rFonts w:ascii="Times New Roman" w:hAnsi="Times New Roman"/>
          <w:outline w:val="0"/>
          <w:color w:val="181717"/>
          <w:sz w:val="20"/>
          <w:szCs w:val="20"/>
          <w:u w:color="181717"/>
          <w:rtl w:val="0"/>
          <w:lang w:val="en-US"/>
          <w14:textFill>
            <w14:solidFill>
              <w14:srgbClr w14:val="181717"/>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 xml:space="preserve">Except as expressly provided in the Terms and </w:t>
      </w:r>
      <w:r>
        <w:rPr>
          <w:rFonts w:ascii="Times New Roman" w:hAnsi="Times New Roman"/>
          <w:outline w:val="0"/>
          <w:color w:val="181717"/>
          <w:sz w:val="20"/>
          <w:szCs w:val="20"/>
          <w:u w:color="181717"/>
          <w:rtl w:val="0"/>
          <w:lang w:val="fr-FR"/>
          <w14:textFill>
            <w14:solidFill>
              <w14:srgbClr w14:val="181717"/>
            </w14:solidFill>
          </w14:textFill>
        </w:rPr>
        <w:t>Conditions</w:t>
      </w:r>
      <w:r>
        <w:rPr>
          <w:rFonts w:ascii="Times New Roman" w:hAnsi="Times New Roman"/>
          <w:outline w:val="0"/>
          <w:color w:val="000000"/>
          <w:sz w:val="20"/>
          <w:szCs w:val="20"/>
          <w:u w:color="000000"/>
          <w:rtl w:val="0"/>
          <w:lang w:val="en-US"/>
          <w14:textFill>
            <w14:solidFill>
              <w14:srgbClr w14:val="000000"/>
            </w14:solidFill>
          </w14:textFill>
        </w:rPr>
        <w:t>, Pine Labs does not make any representations or warranties in relation to this arrangement, including (without limitation) implied warranties of merchantability, non-infringement, fitness for a particular purpose, or implied warranties arising out of course of dealing, course of performance or usage of trade.</w:t>
      </w:r>
    </w:p>
    <w:p>
      <w:pPr>
        <w:pStyle w:val="List Paragraph"/>
        <w:rPr>
          <w:sz w:val="20"/>
          <w:szCs w:val="20"/>
        </w:rPr>
      </w:pPr>
    </w:p>
    <w:p>
      <w:pPr>
        <w:pStyle w:val="Body A"/>
        <w:numPr>
          <w:ilvl w:val="1"/>
          <w:numId w:val="2"/>
        </w:numPr>
        <w:bidi w:val="0"/>
        <w:spacing w:after="0" w:line="240" w:lineRule="auto"/>
        <w:ind w:right="0"/>
        <w:jc w:val="both"/>
        <w:rPr>
          <w:rFonts w:ascii="Times New Roman" w:hAnsi="Times New Roman"/>
          <w:outline w:val="0"/>
          <w:color w:val="000000"/>
          <w:sz w:val="20"/>
          <w:szCs w:val="20"/>
          <w:rtl w:val="0"/>
          <w:lang w:val="en-US"/>
          <w14:textFill>
            <w14:solidFill>
              <w14:srgbClr w14:val="000000"/>
            </w14:solidFill>
          </w14:textFill>
        </w:rPr>
      </w:pPr>
      <w:r>
        <w:rPr>
          <w:rFonts w:ascii="Times New Roman" w:hAnsi="Times New Roman"/>
          <w:outline w:val="0"/>
          <w:color w:val="000000"/>
          <w:sz w:val="20"/>
          <w:szCs w:val="20"/>
          <w:u w:color="000000"/>
          <w:rtl w:val="0"/>
          <w:lang w:val="en-US"/>
          <w14:textFill>
            <w14:solidFill>
              <w14:srgbClr w14:val="000000"/>
            </w14:solidFill>
          </w14:textFill>
        </w:rPr>
        <w:t>Except as expressly provided below, in no event shall either Party's aggregate liability,  whether in contract, tort, indemnity or otherwise, arising out of or in connection with this  Agreement exceed the value of the Co-branded PPI. Notwithstanding the foregoing, the  above limitation of liability shall not apply to: (a) breach of Confidentiality obligations; (b) infringement or misappropriation of Intellectual Property Rights; (c) fraud; (d) death or  personal injury; (e) any liability that cannot be limited under applicable law; or (f) direct  losses, fines, penalties or liabilities incurred by a Party to the extent arising from a breach by the other Party of applicable law or this Agreement in relation to activities expressly  allocated to and within the control of such other Party, where such breach directly results in regulatory action, penalties, fines, directions or orders against the affected Party.</w:t>
      </w:r>
    </w:p>
    <w:p>
      <w:pPr>
        <w:pStyle w:val="Body A"/>
        <w:spacing w:after="0" w:line="240" w:lineRule="auto"/>
        <w:ind w:left="0" w:firstLine="0"/>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It is hereby clarified that all transaction processing and data associated therewith shall be hosted and managed on Pine Lab</w:t>
      </w:r>
      <w:r>
        <w:rPr>
          <w:rFonts w:ascii="Times New Roman" w:hAnsi="Times New Roman" w:hint="default"/>
          <w:sz w:val="20"/>
          <w:szCs w:val="20"/>
          <w:rtl w:val="0"/>
          <w:lang w:val="en-US"/>
        </w:rPr>
        <w:t>’</w:t>
      </w:r>
      <w:r>
        <w:rPr>
          <w:rFonts w:ascii="Times New Roman" w:hAnsi="Times New Roman"/>
          <w:sz w:val="20"/>
          <w:szCs w:val="20"/>
          <w:rtl w:val="0"/>
          <w:lang w:val="en-US"/>
        </w:rPr>
        <w:t>s servers in India.</w:t>
      </w:r>
    </w:p>
    <w:p>
      <w:pPr>
        <w:pStyle w:val="Body A"/>
        <w:ind w:left="720" w:hanging="10"/>
        <w:rPr>
          <w:rFonts w:ascii="Times New Roman" w:cs="Times New Roman" w:hAnsi="Times New Roman" w:eastAsia="Times New Roman"/>
          <w:sz w:val="20"/>
          <w:szCs w:val="20"/>
        </w:rPr>
      </w:pPr>
      <w:r>
        <w:rPr>
          <w:rFonts w:ascii="Times New Roman" w:hAnsi="Times New Roman"/>
          <w:sz w:val="20"/>
          <w:szCs w:val="20"/>
          <w:rtl w:val="0"/>
          <w:lang w:val="en-US"/>
        </w:rPr>
        <w:t xml:space="preserve"> </w:t>
      </w:r>
    </w:p>
    <w:p>
      <w:pPr>
        <w:pStyle w:val="Body A"/>
        <w:numPr>
          <w:ilvl w:val="0"/>
          <w:numId w:val="2"/>
        </w:numPr>
        <w:bidi w:val="0"/>
        <w:spacing w:after="0" w:line="240" w:lineRule="auto"/>
        <w:ind w:right="0"/>
        <w:jc w:val="both"/>
        <w:rPr>
          <w:rFonts w:ascii="Times New Roman" w:hAnsi="Times New Roman"/>
          <w:b w:val="1"/>
          <w:bCs w:val="1"/>
          <w:sz w:val="20"/>
          <w:szCs w:val="20"/>
          <w:rtl w:val="0"/>
          <w:lang w:val="de-DE"/>
        </w:rPr>
      </w:pPr>
      <w:r>
        <w:rPr>
          <w:rFonts w:ascii="Times New Roman" w:hAnsi="Times New Roman"/>
          <w:b w:val="1"/>
          <w:bCs w:val="1"/>
          <w:sz w:val="20"/>
          <w:szCs w:val="20"/>
          <w:rtl w:val="0"/>
          <w:lang w:val="de-DE"/>
        </w:rPr>
        <w:t>INTELLECTUAL PROPERTY</w:t>
      </w:r>
    </w:p>
    <w:p>
      <w:pPr>
        <w:pStyle w:val="Body A"/>
        <w:spacing w:after="0" w:line="240" w:lineRule="auto"/>
        <w:ind w:left="720" w:firstLine="0"/>
        <w:rPr>
          <w:rFonts w:ascii="Times New Roman" w:cs="Times New Roman" w:hAnsi="Times New Roman" w:eastAsia="Times New Roman"/>
          <w:b w:val="1"/>
          <w:bCs w:val="1"/>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The Corporate agrees that it shall not use the name, logo, trademarks and copyrighted material of Pine Labs or of the gift card brands in any communication to a third party without explicit written permission of Pine Labs and the brands.</w:t>
      </w:r>
    </w:p>
    <w:p>
      <w:pPr>
        <w:pStyle w:val="Body Text"/>
        <w:tabs>
          <w:tab w:val="left" w:pos="720"/>
        </w:tabs>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The Corporate recognizes and acknowledges the proprietary nature of Pine Labs trademarks, logos and the valuable reputation and goodwill attached to the said trademarks. The Corporate hereby agrees that it is willing to co-operate with Pine Labs in preserving such reputation and goodwill and pledges to refrain from doing any act, directly or through a third party which may, in any way impair the said proprietorship of Pine Labs.</w:t>
      </w:r>
    </w:p>
    <w:p>
      <w:pPr>
        <w:pStyle w:val="Body Text"/>
      </w:pPr>
    </w:p>
    <w:p>
      <w:pPr>
        <w:pStyle w:val="Body A"/>
        <w:numPr>
          <w:ilvl w:val="1"/>
          <w:numId w:val="3"/>
        </w:numPr>
        <w:bidi w:val="0"/>
        <w:spacing w:after="0" w:line="240" w:lineRule="auto"/>
        <w:ind w:right="0"/>
        <w:jc w:val="both"/>
        <w:rPr>
          <w:rFonts w:ascii="Times New Roman" w:hAnsi="Times New Roman"/>
          <w:b w:val="1"/>
          <w:bCs w:val="1"/>
          <w:sz w:val="20"/>
          <w:szCs w:val="20"/>
          <w:rtl w:val="0"/>
          <w:lang w:val="en-US"/>
        </w:rPr>
      </w:pPr>
      <w:r>
        <w:rPr>
          <w:rFonts w:ascii="Times New Roman" w:hAnsi="Times New Roman"/>
          <w:b w:val="0"/>
          <w:bCs w:val="0"/>
          <w:sz w:val="20"/>
          <w:szCs w:val="20"/>
          <w:rtl w:val="0"/>
          <w:lang w:val="en-US"/>
        </w:rPr>
        <w:t xml:space="preserve">Nothing herein contained shall at any time during the continuation of these Terms and Conditions or after the expiry or earlier determination thereof give or be deemed to give or shall be intended to give or confer upon the Corporate any right, title or interest or claim in or to the said trademarks and logos proprietary to Pine Labs and all such right, title and interest shall continue to vest solely and absolutely in favour of Pine Labs. </w:t>
      </w:r>
    </w:p>
    <w:p>
      <w:pPr>
        <w:pStyle w:val="List Paragraph"/>
        <w:rPr>
          <w:b w:val="1"/>
          <w:bCs w:val="1"/>
          <w:sz w:val="20"/>
          <w:szCs w:val="20"/>
        </w:rPr>
      </w:pPr>
    </w:p>
    <w:p>
      <w:pPr>
        <w:pStyle w:val="Body A"/>
        <w:numPr>
          <w:ilvl w:val="0"/>
          <w:numId w:val="2"/>
        </w:numPr>
        <w:bidi w:val="0"/>
        <w:spacing w:after="0" w:line="240"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TERM AND TERMINATION</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Either party hereto may, without cause, terminate these Terms and Conditions and arrangement by giving the other, thirty (30)</w:t>
      </w:r>
      <w:r>
        <w:rPr>
          <w:rFonts w:ascii="Times New Roman" w:hAnsi="Times New Roman" w:hint="default"/>
          <w:sz w:val="20"/>
          <w:szCs w:val="20"/>
          <w:rtl w:val="0"/>
          <w:lang w:val="en-US"/>
        </w:rPr>
        <w:t> </w:t>
      </w:r>
      <w:r>
        <w:rPr>
          <w:rFonts w:ascii="Times New Roman" w:hAnsi="Times New Roman"/>
          <w:sz w:val="20"/>
          <w:szCs w:val="20"/>
          <w:rtl w:val="0"/>
          <w:lang w:val="en-US"/>
        </w:rPr>
        <w:t xml:space="preserve">days written notice of the same. </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In the event of breach of these Terms and Conditions by either Party, the other Party shall be entitled to terminate these Terms and Conditions and arrangement with thirty (30) days</w:t>
      </w:r>
      <w:r>
        <w:rPr>
          <w:rFonts w:ascii="Times New Roman" w:hAnsi="Times New Roman" w:hint="default"/>
          <w:sz w:val="20"/>
          <w:szCs w:val="20"/>
          <w:rtl w:val="0"/>
          <w:lang w:val="en-US"/>
        </w:rPr>
        <w:t xml:space="preserve">’ </w:t>
      </w:r>
      <w:r>
        <w:rPr>
          <w:rFonts w:ascii="Times New Roman" w:hAnsi="Times New Roman"/>
          <w:sz w:val="20"/>
          <w:szCs w:val="20"/>
          <w:rtl w:val="0"/>
          <w:lang w:val="en-US"/>
        </w:rPr>
        <w:t>notice provided that such breach is not remedied within thirty (30) days of such notice.</w:t>
      </w:r>
    </w:p>
    <w:p>
      <w:pPr>
        <w:pStyle w:val="Body A"/>
        <w:ind w:left="720" w:hanging="10"/>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Upon termination or expiration of these Terms and Conditions: (i) any and all payment obligations of the Corporate that have accrued shall become immediately due and payable; (ii) the Corporate shall promptly return to Pine Labs, its confidential information, Distribution Solution and all materials provided pursuant to these Terms and Conditions; (iii) the Corporate shall uninstall the distribution solution installed on its systems; and (iv) Pine Labs will provide to the Corporate, an updated MIS setting out the details of all transactions undertaken by the customers of the Corporate, up to the effective date of termination of these Terms and Conditions. </w:t>
      </w:r>
    </w:p>
    <w:p>
      <w:pPr>
        <w:pStyle w:val="List Paragraph"/>
        <w:rPr>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Expiry or earlier termination of these Terms and Conditions will not prejudice any rights of the Parties that may have accrued prior thereto. </w:t>
      </w:r>
    </w:p>
    <w:p>
      <w:pPr>
        <w:pStyle w:val="Body A"/>
        <w:rPr>
          <w:rFonts w:ascii="Times New Roman" w:cs="Times New Roman" w:hAnsi="Times New Roman" w:eastAsia="Times New Roman"/>
          <w:sz w:val="20"/>
          <w:szCs w:val="20"/>
        </w:rPr>
      </w:pPr>
    </w:p>
    <w:p>
      <w:pPr>
        <w:pStyle w:val="Body A"/>
        <w:numPr>
          <w:ilvl w:val="0"/>
          <w:numId w:val="2"/>
        </w:numPr>
        <w:bidi w:val="0"/>
        <w:spacing w:after="0" w:line="240" w:lineRule="auto"/>
        <w:ind w:right="0"/>
        <w:jc w:val="both"/>
        <w:rPr>
          <w:rFonts w:ascii="Times New Roman" w:hAnsi="Times New Roman"/>
          <w:b w:val="1"/>
          <w:bCs w:val="1"/>
          <w:sz w:val="20"/>
          <w:szCs w:val="20"/>
          <w:rtl w:val="0"/>
          <w:lang w:val="de-DE"/>
        </w:rPr>
      </w:pPr>
      <w:r>
        <w:rPr>
          <w:rFonts w:ascii="Times New Roman" w:hAnsi="Times New Roman"/>
          <w:b w:val="1"/>
          <w:bCs w:val="1"/>
          <w:sz w:val="20"/>
          <w:szCs w:val="20"/>
          <w:rtl w:val="0"/>
          <w:lang w:val="de-DE"/>
        </w:rPr>
        <w:t>MISCELLANEOUS</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CONFIDENTIALITY. Each party shall treat any data and information, whether written, oral or visual, disclosed to it or which comes into its possession or knowledge in connection with these Terms and Conditions as confidential and shall not disclose the same to any others, except as may be required by law or as may be required to be disclosed on a "Need-to-Know" basis for implementing these Terms and Conditions. </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ASSIGNMENT: These Terms and Conditions shall be binding upon and enure to the benefit of the parties hereto and their respective successors. Neither these Terms and Conditions nor any of the rights, interests or obligations hereunder shall be assigned to any third party, unless otherwise agreed in writing by both parties. </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FORCE MAJEURE: Except for the obligation for making accrued payments; neither Party shall be liable to the other, for failure or delay in the performance of any of its obligations under these Terms and Conditions to the extent such failure or delay is caused by force majeure or reasons beyond the reasonable control of the concerned party.</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NOTICES: Any notices, requests and other communications required or permitted hereunder shall be in writing and shall be given by hand against written acknowledgement or receipt, or sent by registered mail, or by facsimile followed by a confirmation letter by registered mail, at or to each of the Parties at their respective addresses set forth in these Terms and Conditions.</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HEADINGS: The headings contained in these Terms and Conditions are solely for the purpose of reference and shall not in any way affect the meaning or interpretation of these Terms and Conditions and the clauses contained herein.</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 xml:space="preserve">NO AGENCY: It is mutually agreed by the Parties that these Terms and Conditions and the contract between the Parties evidenced by it are on </w:t>
      </w:r>
      <w:r>
        <w:rPr>
          <w:rFonts w:ascii="Times New Roman" w:hAnsi="Times New Roman" w:hint="default"/>
          <w:sz w:val="20"/>
          <w:szCs w:val="20"/>
          <w:rtl w:val="0"/>
          <w:lang w:val="en-US"/>
        </w:rPr>
        <w:t>“</w:t>
      </w:r>
      <w:r>
        <w:rPr>
          <w:rFonts w:ascii="Times New Roman" w:hAnsi="Times New Roman"/>
          <w:sz w:val="20"/>
          <w:szCs w:val="20"/>
          <w:rtl w:val="0"/>
          <w:lang w:val="it-IT"/>
        </w:rPr>
        <w:t>principal to principal</w:t>
      </w:r>
      <w:r>
        <w:rPr>
          <w:rFonts w:ascii="Times New Roman" w:hAnsi="Times New Roman" w:hint="default"/>
          <w:sz w:val="20"/>
          <w:szCs w:val="20"/>
          <w:rtl w:val="0"/>
          <w:lang w:val="en-US"/>
        </w:rPr>
        <w:t xml:space="preserve">” </w:t>
      </w:r>
      <w:r>
        <w:rPr>
          <w:rFonts w:ascii="Times New Roman" w:hAnsi="Times New Roman"/>
          <w:sz w:val="20"/>
          <w:szCs w:val="20"/>
          <w:rtl w:val="0"/>
          <w:lang w:val="en-US"/>
        </w:rPr>
        <w:t>basis and nothing herein contained shall be construed or understood as constituting either Party hereto the agent or representative of the other under any circumstances.</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WAIVER: Failure of either Party to require performance of any provision of these Terms and Conditions shall not affect such Party's right to full performance thereof at any time thereafter, and any waiver by either Party of a breach of any provision hereof shall not constitute a waiver of a similar breach in the future or of any other breach. No waiver shall be effective unless in writing and duly executed by an authorized representative of the concerned Party.</w:t>
      </w:r>
    </w:p>
    <w:p>
      <w:pPr>
        <w:pStyle w:val="Body A"/>
        <w:rPr>
          <w:rFonts w:ascii="Times New Roman" w:cs="Times New Roman" w:hAnsi="Times New Roman" w:eastAsia="Times New Roman"/>
          <w:sz w:val="20"/>
          <w:szCs w:val="20"/>
        </w:rPr>
      </w:pPr>
    </w:p>
    <w:p>
      <w:pPr>
        <w:pStyle w:val="Body A"/>
        <w:numPr>
          <w:ilvl w:val="1"/>
          <w:numId w:val="3"/>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GOVERNING LAW AND DISPUTE RESOLUTION: These Terms and Conditions shall be governed by the laws of India. Nothing contained in this clause will preclude either Party from applying for and obtaining any injunctive, prohibitory or other similar urgent or interim relief from a competent court of law, for which the courts at New Delhi shall have exclusive jurisdiction.</w:t>
      </w:r>
    </w:p>
    <w:p>
      <w:pPr>
        <w:pStyle w:val="Body A"/>
        <w:rPr>
          <w:rFonts w:ascii="Times New Roman" w:cs="Times New Roman" w:hAnsi="Times New Roman" w:eastAsia="Times New Roman"/>
          <w:sz w:val="20"/>
          <w:szCs w:val="20"/>
        </w:rPr>
      </w:pPr>
    </w:p>
    <w:p>
      <w:pPr>
        <w:pStyle w:val="Body A"/>
        <w:ind w:left="1440" w:firstLine="720"/>
        <w:rPr>
          <w:rFonts w:ascii="Times New Roman" w:cs="Times New Roman" w:hAnsi="Times New Roman" w:eastAsia="Times New Roman"/>
          <w:sz w:val="20"/>
          <w:szCs w:val="20"/>
        </w:rPr>
      </w:pPr>
      <w:r>
        <w:rPr>
          <w:rFonts w:ascii="Times New Roman" w:hAnsi="Times New Roman"/>
          <w:b w:val="1"/>
          <w:bCs w:val="1"/>
          <w:sz w:val="20"/>
          <w:szCs w:val="20"/>
          <w:rtl w:val="0"/>
          <w:lang w:val="en-US"/>
        </w:rPr>
        <w:t>DECLARATION</w:t>
      </w:r>
    </w:p>
    <w:p>
      <w:pPr>
        <w:pStyle w:val="List Paragraph"/>
        <w:rPr>
          <w:rStyle w:val="None"/>
          <w:sz w:val="20"/>
          <w:szCs w:val="20"/>
        </w:rPr>
      </w:pPr>
      <w:r>
        <w:rPr>
          <w:rFonts w:cs="Arial Unicode MS" w:eastAsia="Arial Unicode MS"/>
          <w:sz w:val="20"/>
          <w:szCs w:val="20"/>
          <w:rtl w:val="0"/>
          <w:lang w:val="en-US"/>
        </w:rPr>
        <w:t xml:space="preserve">1. I / We have read and understood the Terms and Conditions (T&amp;C of Corporate application form for prepaid cards) governing  card as hosted on </w:t>
      </w:r>
      <w:r>
        <w:rPr>
          <w:rStyle w:val="Hyperlink.0"/>
        </w:rPr>
        <w:fldChar w:fldCharType="begin" w:fldLock="0"/>
      </w:r>
      <w:r>
        <w:rPr>
          <w:rStyle w:val="Hyperlink.0"/>
        </w:rPr>
        <w:instrText xml:space="preserve"> HYPERLINK "https://www.pineperks.in/termsConditions"</w:instrText>
      </w:r>
      <w:r>
        <w:rPr>
          <w:rStyle w:val="Hyperlink.0"/>
        </w:rPr>
        <w:fldChar w:fldCharType="separate" w:fldLock="0"/>
      </w:r>
      <w:r>
        <w:rPr>
          <w:rStyle w:val="Hyperlink.0"/>
          <w:rFonts w:cs="Arial Unicode MS" w:eastAsia="Arial Unicode MS"/>
          <w:rtl w:val="0"/>
        </w:rPr>
        <w:t>https://www.pineperks.in/termsConditions</w:t>
      </w:r>
      <w:r>
        <w:rPr/>
        <w:fldChar w:fldCharType="end" w:fldLock="0"/>
      </w:r>
      <w:r>
        <w:rPr>
          <w:rStyle w:val="None"/>
          <w:rFonts w:cs="Arial Unicode MS" w:eastAsia="Arial Unicode MS"/>
          <w:sz w:val="20"/>
          <w:szCs w:val="20"/>
          <w:rtl w:val="0"/>
          <w:lang w:val="en-US"/>
        </w:rPr>
        <w:t xml:space="preserve"> and agree to abide by the same.</w:t>
      </w:r>
    </w:p>
    <w:p>
      <w:pPr>
        <w:pStyle w:val="List Paragraph"/>
        <w:rPr>
          <w:rStyle w:val="None"/>
          <w:sz w:val="20"/>
          <w:szCs w:val="20"/>
        </w:rPr>
      </w:pPr>
      <w:r>
        <w:rPr>
          <w:rStyle w:val="None"/>
          <w:rFonts w:cs="Arial Unicode MS" w:eastAsia="Arial Unicode MS"/>
          <w:sz w:val="20"/>
          <w:szCs w:val="20"/>
          <w:rtl w:val="0"/>
          <w:lang w:val="en-US"/>
        </w:rPr>
        <w:t>2. I / We hereby declare that the information given by me/us in this Application Form is true and correct. Documents submitted to Pine Labs Limited under the digital/wet signature of the aforesaid officials are binding on me /us.</w:t>
      </w:r>
    </w:p>
    <w:p>
      <w:pPr>
        <w:pStyle w:val="List Paragraph"/>
        <w:rPr>
          <w:rStyle w:val="None"/>
          <w:sz w:val="20"/>
          <w:szCs w:val="20"/>
        </w:rPr>
      </w:pPr>
      <w:r>
        <w:rPr>
          <w:rStyle w:val="None"/>
          <w:rFonts w:cs="Arial Unicode MS" w:eastAsia="Arial Unicode MS"/>
          <w:sz w:val="20"/>
          <w:szCs w:val="20"/>
          <w:rtl w:val="0"/>
          <w:lang w:val="en-US"/>
        </w:rPr>
        <w:t>3. I / We agree to indemnify Pine Labs Limited for any loss or damage which Pine Labs Limited may suffer or incur by it as a result of reliance on documents submitted by or instructions given by the aforesaid officials.</w:t>
      </w:r>
    </w:p>
    <w:p>
      <w:pPr>
        <w:pStyle w:val="List Paragraph"/>
        <w:rPr>
          <w:rStyle w:val="None"/>
          <w:sz w:val="20"/>
          <w:szCs w:val="20"/>
        </w:rPr>
      </w:pPr>
      <w:r>
        <w:rPr>
          <w:rStyle w:val="None"/>
          <w:rFonts w:cs="Arial Unicode MS" w:eastAsia="Arial Unicode MS"/>
          <w:sz w:val="20"/>
          <w:szCs w:val="20"/>
          <w:rtl w:val="0"/>
          <w:lang w:val="en-US"/>
        </w:rPr>
        <w:t>4. I / We understand that RBI guidelines for prepaid instruments will be applicable from time to time.</w:t>
      </w:r>
    </w:p>
    <w:p>
      <w:pPr>
        <w:pStyle w:val="List Paragraph"/>
        <w:rPr>
          <w:rStyle w:val="None"/>
          <w:sz w:val="20"/>
          <w:szCs w:val="20"/>
        </w:rPr>
      </w:pPr>
      <w:r>
        <w:rPr>
          <w:rStyle w:val="None"/>
          <w:rFonts w:cs="Arial Unicode MS" w:eastAsia="Arial Unicode MS"/>
          <w:sz w:val="20"/>
          <w:szCs w:val="20"/>
          <w:rtl w:val="0"/>
          <w:lang w:val="en-US"/>
        </w:rPr>
        <w:t>5. I / We agree and declare that Pine Labs Limited account manager has given detailed brief of terms and conditions of issuance, usage and associated fee of Prepaid Cards.</w:t>
      </w:r>
    </w:p>
    <w:p>
      <w:pPr>
        <w:pStyle w:val="List Paragraph"/>
        <w:rPr>
          <w:rStyle w:val="None"/>
          <w:sz w:val="20"/>
          <w:szCs w:val="20"/>
        </w:rPr>
      </w:pPr>
    </w:p>
    <w:p>
      <w:pPr>
        <w:pStyle w:val="List Paragraph"/>
        <w:rPr>
          <w:rStyle w:val="None"/>
          <w:sz w:val="20"/>
          <w:szCs w:val="20"/>
        </w:rPr>
      </w:pPr>
    </w:p>
    <w:p>
      <w:pPr>
        <w:pStyle w:val="Body A"/>
        <w:spacing w:after="0"/>
        <w:ind w:left="2170" w:firstLine="710"/>
      </w:pPr>
      <w:r>
        <w:rPr>
          <w:rStyle w:val="None"/>
          <w:rFonts w:ascii="Arial Unicode MS" w:cs="Arial Unicode MS" w:hAnsi="Arial Unicode MS" w:eastAsia="Arial Unicode MS"/>
          <w:b w:val="0"/>
          <w:bCs w:val="0"/>
          <w:i w:val="0"/>
          <w:iCs w:val="0"/>
          <w:sz w:val="20"/>
          <w:szCs w:val="20"/>
        </w:rPr>
      </w:r>
    </w:p>
    <w:p>
      <w:pPr>
        <w:pStyle w:val="Body A"/>
        <w:spacing w:after="0"/>
        <w:ind w:left="2170" w:firstLine="710"/>
      </w:pPr>
    </w:p>
    <w:p>
      <w:pPr>
        <w:pStyle w:val="Body A"/>
        <w:spacing w:after="0"/>
        <w:ind w:left="2170" w:firstLine="710"/>
        <w:rPr>
          <w:rStyle w:val="None"/>
          <w:b w:val="1"/>
          <w:bCs w:val="1"/>
          <w:sz w:val="20"/>
          <w:szCs w:val="20"/>
        </w:rPr>
      </w:pPr>
      <w:r>
        <w:rPr>
          <w:rStyle w:val="None"/>
          <w:b w:val="1"/>
          <w:bCs w:val="1"/>
          <w:sz w:val="20"/>
          <w:szCs w:val="20"/>
          <w:rtl w:val="0"/>
          <w:lang w:val="en-US"/>
        </w:rPr>
        <w:t>Annexure A</w:t>
      </w:r>
    </w:p>
    <w:p>
      <w:pPr>
        <w:pStyle w:val="List Paragraph"/>
        <w:ind w:firstLine="720"/>
        <w:rPr>
          <w:rStyle w:val="None"/>
          <w:b w:val="1"/>
          <w:bCs w:val="1"/>
          <w:sz w:val="20"/>
          <w:szCs w:val="20"/>
        </w:rPr>
      </w:pPr>
      <w:r>
        <w:rPr>
          <w:rStyle w:val="None"/>
          <w:b w:val="1"/>
          <w:bCs w:val="1"/>
          <w:sz w:val="20"/>
          <w:szCs w:val="20"/>
          <w:rtl w:val="0"/>
          <w:lang w:val="en-US"/>
        </w:rPr>
        <w:t>Operational Process and Scope of Work</w:t>
      </w:r>
    </w:p>
    <w:p>
      <w:pPr>
        <w:pStyle w:val="List Paragraph"/>
        <w:rPr>
          <w:rStyle w:val="None"/>
          <w:sz w:val="20"/>
          <w:szCs w:val="20"/>
        </w:rPr>
      </w:pP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b w:val="1"/>
          <w:bCs w:val="1"/>
          <w:sz w:val="20"/>
          <w:szCs w:val="20"/>
          <w:u w:val="single"/>
          <w:rtl w:val="0"/>
          <w:lang w:val="en-US"/>
        </w:rPr>
        <w:t xml:space="preserve">1.Program brief: </w:t>
      </w:r>
      <w:r>
        <w:rPr>
          <w:rStyle w:val="None"/>
          <w:rFonts w:cs="Arial Unicode MS" w:eastAsia="Arial Unicode MS"/>
          <w:sz w:val="20"/>
          <w:szCs w:val="20"/>
          <w:u w:val="single"/>
          <w:rtl w:val="0"/>
          <w:lang w:val="en-US"/>
        </w:rPr>
        <w:t>Pre-paid cards consumption for expense management</w:t>
      </w:r>
    </w:p>
    <w:p>
      <w:pPr>
        <w:pStyle w:val="List Paragraph"/>
        <w:rPr>
          <w:rStyle w:val="None"/>
          <w:sz w:val="20"/>
          <w:szCs w:val="20"/>
        </w:rPr>
      </w:pP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b w:val="1"/>
          <w:bCs w:val="1"/>
          <w:sz w:val="20"/>
          <w:szCs w:val="20"/>
          <w:u w:val="single"/>
          <w:rtl w:val="0"/>
          <w:lang w:val="en-US"/>
        </w:rPr>
        <w:t>2. KYC Type:</w:t>
      </w:r>
      <w:r>
        <w:rPr>
          <w:rStyle w:val="None"/>
          <w:rFonts w:cs="Arial Unicode MS" w:eastAsia="Arial Unicode MS"/>
          <w:sz w:val="20"/>
          <w:szCs w:val="20"/>
          <w:u w:val="single"/>
          <w:rtl w:val="0"/>
          <w:lang w:val="en-US"/>
        </w:rPr>
        <w:t xml:space="preserve"> Full KYC</w:t>
      </w:r>
    </w:p>
    <w:p>
      <w:pPr>
        <w:pStyle w:val="List Paragraph"/>
        <w:rPr>
          <w:rStyle w:val="None"/>
          <w:sz w:val="20"/>
          <w:szCs w:val="20"/>
        </w:rPr>
      </w:pPr>
    </w:p>
    <w:p>
      <w:pPr>
        <w:pStyle w:val="List Paragraph"/>
        <w:rPr>
          <w:rStyle w:val="None"/>
          <w:sz w:val="20"/>
          <w:szCs w:val="20"/>
        </w:rPr>
      </w:pPr>
      <w:r>
        <w:rPr>
          <w:rStyle w:val="None"/>
          <w:rFonts w:cs="Arial Unicode MS" w:eastAsia="Arial Unicode MS"/>
          <w:b w:val="1"/>
          <w:bCs w:val="1"/>
          <w:sz w:val="20"/>
          <w:szCs w:val="20"/>
          <w:u w:val="single"/>
          <w:rtl w:val="0"/>
          <w:lang w:val="en-US"/>
        </w:rPr>
        <w:t>3. KYC Method:</w:t>
      </w:r>
      <w:r>
        <w:rPr>
          <w:rStyle w:val="None"/>
          <w:rFonts w:cs="Arial Unicode MS" w:eastAsia="Arial Unicode MS"/>
          <w:sz w:val="20"/>
          <w:szCs w:val="20"/>
          <w:u w:val="single"/>
          <w:rtl w:val="0"/>
          <w:lang w:val="en-US"/>
        </w:rPr>
        <w:t xml:space="preserve"> - VKYC</w:t>
      </w:r>
      <w:r>
        <w:rPr>
          <w:rStyle w:val="None"/>
          <w:rFonts w:cs="Arial Unicode MS" w:eastAsia="Arial Unicode MS" w:hint="default"/>
          <w:sz w:val="20"/>
          <w:szCs w:val="20"/>
          <w:rtl w:val="0"/>
          <w:lang w:val="en-US"/>
        </w:rPr>
        <w:t> </w:t>
      </w:r>
    </w:p>
    <w:p>
      <w:pPr>
        <w:pStyle w:val="List Paragraph"/>
        <w:rPr>
          <w:rStyle w:val="None"/>
          <w:sz w:val="20"/>
          <w:szCs w:val="20"/>
        </w:rPr>
      </w:pPr>
    </w:p>
    <w:p>
      <w:pPr>
        <w:pStyle w:val="List Paragraph"/>
        <w:rPr>
          <w:rStyle w:val="None"/>
          <w:sz w:val="20"/>
          <w:szCs w:val="20"/>
        </w:rPr>
      </w:pPr>
      <w:r>
        <w:rPr>
          <w:rStyle w:val="None"/>
          <w:rFonts w:cs="Arial Unicode MS" w:eastAsia="Arial Unicode MS"/>
          <w:b w:val="1"/>
          <w:bCs w:val="1"/>
          <w:sz w:val="20"/>
          <w:szCs w:val="20"/>
          <w:u w:val="single"/>
          <w:rtl w:val="0"/>
          <w:lang w:val="en-US"/>
        </w:rPr>
        <w:t>4. Form Factor:</w:t>
      </w:r>
      <w:r>
        <w:rPr>
          <w:rStyle w:val="None"/>
          <w:rFonts w:cs="Arial Unicode MS" w:eastAsia="Arial Unicode MS"/>
          <w:sz w:val="20"/>
          <w:szCs w:val="20"/>
          <w:u w:val="single"/>
          <w:rtl w:val="0"/>
          <w:lang w:val="en-US"/>
        </w:rPr>
        <w:t xml:space="preserve"> - Physical</w:t>
      </w: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b w:val="1"/>
          <w:bCs w:val="1"/>
          <w:sz w:val="20"/>
          <w:szCs w:val="20"/>
          <w:u w:val="single"/>
          <w:rtl w:val="0"/>
          <w:lang w:val="en-US"/>
        </w:rPr>
        <w:t>5. Interoperability:</w:t>
      </w:r>
      <w:r>
        <w:rPr>
          <w:rStyle w:val="None"/>
          <w:rFonts w:cs="Arial Unicode MS" w:eastAsia="Arial Unicode MS"/>
          <w:sz w:val="20"/>
          <w:szCs w:val="20"/>
          <w:u w:val="single"/>
          <w:rtl w:val="0"/>
          <w:lang w:val="en-US"/>
        </w:rPr>
        <w:t xml:space="preserve"> via Network (Rupay)</w:t>
      </w:r>
      <w:r>
        <w:rPr>
          <w:rStyle w:val="None"/>
          <w:rFonts w:cs="Arial Unicode MS" w:eastAsia="Arial Unicode MS" w:hint="default"/>
          <w:sz w:val="20"/>
          <w:szCs w:val="20"/>
          <w:rtl w:val="0"/>
          <w:lang w:val="en-US"/>
        </w:rPr>
        <w:t> </w:t>
      </w:r>
      <w:r>
        <w:rPr>
          <w:rStyle w:val="None"/>
          <w:rFonts w:cs="Arial Unicode MS" w:eastAsia="Arial Unicode MS"/>
          <w:sz w:val="20"/>
          <w:szCs w:val="20"/>
          <w:rtl w:val="0"/>
          <w:lang w:val="en-US"/>
        </w:rPr>
        <w:t>&amp; UPI</w:t>
      </w:r>
    </w:p>
    <w:p>
      <w:pPr>
        <w:pStyle w:val="List Paragraph"/>
        <w:rPr>
          <w:rStyle w:val="None"/>
          <w:sz w:val="20"/>
          <w:szCs w:val="20"/>
        </w:rPr>
      </w:pP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b w:val="1"/>
          <w:bCs w:val="1"/>
          <w:sz w:val="20"/>
          <w:szCs w:val="20"/>
          <w:u w:val="single"/>
          <w:rtl w:val="0"/>
          <w:lang w:val="en-US"/>
        </w:rPr>
        <w:t xml:space="preserve">6. PPI Load/Fund flow: </w:t>
      </w:r>
      <w:r>
        <w:rPr>
          <w:rStyle w:val="None"/>
          <w:rFonts w:cs="Arial Unicode MS" w:eastAsia="Arial Unicode MS"/>
          <w:sz w:val="20"/>
          <w:szCs w:val="20"/>
          <w:u w:val="single"/>
          <w:rtl w:val="0"/>
          <w:lang w:val="en-US"/>
        </w:rPr>
        <w:t>Corporate will pre-fund pool account</w:t>
      </w:r>
    </w:p>
    <w:p>
      <w:pPr>
        <w:pStyle w:val="List Paragraph"/>
        <w:rPr>
          <w:rStyle w:val="None"/>
          <w:sz w:val="20"/>
          <w:szCs w:val="20"/>
        </w:rPr>
      </w:pP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b w:val="1"/>
          <w:bCs w:val="1"/>
          <w:sz w:val="20"/>
          <w:szCs w:val="20"/>
          <w:u w:val="single"/>
          <w:rtl w:val="0"/>
          <w:lang w:val="en-US"/>
        </w:rPr>
        <w:t>7. PPI Redemption:</w:t>
      </w:r>
      <w:r>
        <w:rPr>
          <w:rStyle w:val="None"/>
          <w:rFonts w:cs="Arial Unicode MS" w:eastAsia="Arial Unicode MS"/>
          <w:sz w:val="20"/>
          <w:szCs w:val="20"/>
          <w:u w:val="single"/>
          <w:rtl w:val="0"/>
          <w:lang w:val="en-US"/>
        </w:rPr>
        <w:t xml:space="preserve"> Card based redemption</w:t>
      </w: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hint="default"/>
          <w:sz w:val="20"/>
          <w:szCs w:val="20"/>
          <w:rtl w:val="0"/>
          <w:lang w:val="en-US"/>
        </w:rPr>
        <w:t> </w:t>
      </w:r>
    </w:p>
    <w:p>
      <w:pPr>
        <w:pStyle w:val="List Paragraph"/>
        <w:rPr>
          <w:rStyle w:val="None"/>
          <w:sz w:val="20"/>
          <w:szCs w:val="20"/>
        </w:rPr>
      </w:pPr>
      <w:r>
        <w:rPr>
          <w:rStyle w:val="None"/>
          <w:rFonts w:cs="Arial Unicode MS" w:eastAsia="Arial Unicode MS"/>
          <w:b w:val="1"/>
          <w:bCs w:val="1"/>
          <w:sz w:val="20"/>
          <w:szCs w:val="20"/>
          <w:u w:val="single"/>
          <w:rtl w:val="0"/>
          <w:lang w:val="en-US"/>
        </w:rPr>
        <w:t>8.Customer communication:</w:t>
      </w:r>
      <w:r>
        <w:rPr>
          <w:rStyle w:val="None"/>
          <w:rFonts w:cs="Arial Unicode MS" w:eastAsia="Arial Unicode MS"/>
          <w:sz w:val="20"/>
          <w:szCs w:val="20"/>
          <w:u w:val="single"/>
          <w:rtl w:val="0"/>
          <w:lang w:val="en-US"/>
        </w:rPr>
        <w:t xml:space="preserve"> E-Mail, Other Communication to the customer to be managed by (...Client name...) and all regulatory requirement SMS notification will be managed by Pine Labs.</w:t>
      </w:r>
      <w:r>
        <w:rPr>
          <w:rStyle w:val="None"/>
          <w:rFonts w:cs="Arial Unicode MS" w:eastAsia="Arial Unicode MS" w:hint="default"/>
          <w:sz w:val="20"/>
          <w:szCs w:val="20"/>
          <w:rtl w:val="0"/>
          <w:lang w:val="en-US"/>
        </w:rPr>
        <w:t> </w:t>
      </w:r>
    </w:p>
    <w:p>
      <w:pPr>
        <w:pStyle w:val="Body A"/>
        <w:ind w:left="0" w:firstLine="0"/>
        <w:rPr>
          <w:rStyle w:val="None"/>
          <w:sz w:val="20"/>
          <w:szCs w:val="20"/>
        </w:rPr>
      </w:pPr>
    </w:p>
    <w:p>
      <w:pPr>
        <w:pStyle w:val="Body A"/>
        <w:pPr>
          <w:keepNext/>
        </w:pPr>
        <w:spacing w:after="0"/>
        <w:ind w:left="1440" w:firstLine="720"/>
        <w:rPr>
          <w:rStyle w:val="None"/>
          <w:b w:val="1"/>
          <w:bCs w:val="1"/>
        </w:rPr>
      </w:pPr>
      <w:r>
        <w:rPr>
          <w:rStyle w:val="None"/>
          <w:b w:val="1"/>
          <w:bCs w:val="1"/>
          <w:rtl w:val="0"/>
          <w:lang w:val="en-US"/>
        </w:rPr>
        <w:t>Annexure B</w:t>
      </w:r>
    </w:p>
    <w:p>
      <w:pPr>
        <w:pStyle w:val="Body A"/>
        <w:pPr>
          <w:keepNext/>
        </w:pPr>
        <w:spacing w:after="0"/>
        <w:jc w:val="center"/>
        <w:rPr>
          <w:rStyle w:val="None"/>
          <w:rFonts w:ascii="Times New Roman" w:cs="Times New Roman" w:hAnsi="Times New Roman" w:eastAsia="Times New Roman"/>
          <w:b w:val="1"/>
          <w:bCs w:val="1"/>
          <w:outline w:val="0"/>
          <w:color w:val="000000"/>
          <w:sz w:val="20"/>
          <w:szCs w:val="20"/>
          <w:u w:color="000000"/>
          <w14:textFill>
            <w14:solidFill>
              <w14:srgbClr w14:val="000000"/>
            </w14:solidFill>
          </w14:textFill>
        </w:rPr>
      </w:pPr>
      <w:r>
        <w:rPr>
          <w:rStyle w:val="None"/>
          <w:rFonts w:ascii="Times New Roman" w:hAnsi="Times New Roman"/>
          <w:b w:val="1"/>
          <w:bCs w:val="1"/>
          <w:outline w:val="0"/>
          <w:color w:val="000000"/>
          <w:sz w:val="20"/>
          <w:szCs w:val="20"/>
          <w:u w:color="000000"/>
          <w:rtl w:val="0"/>
          <w:lang w:val="en-US"/>
          <w14:textFill>
            <w14:solidFill>
              <w14:srgbClr w14:val="000000"/>
            </w14:solidFill>
          </w14:textFill>
        </w:rPr>
        <w:t>Commercials and Settlement Terms</w:t>
      </w:r>
    </w:p>
    <w:tbl>
      <w:tblPr>
        <w:tblW w:w="52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72"/>
        <w:gridCol w:w="2803"/>
        <w:gridCol w:w="1360"/>
      </w:tblGrid>
      <w:tr>
        <w:tblPrEx>
          <w:shd w:val="clear" w:color="auto" w:fill="cad1d7"/>
        </w:tblPrEx>
        <w:trPr>
          <w:cantSplit/>
          <w:trHeight w:val="435" w:hRule="atLeast"/>
        </w:trPr>
        <w:tc>
          <w:tcPr>
            <w:tcW w:type="dxa" w:w="1072"/>
            <w:tcBorders>
              <w:top w:val="single" w:color="000000" w:sz="8" w:space="0" w:shadow="0" w:frame="0"/>
              <w:left w:val="single" w:color="000000" w:sz="8"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pStyle w:val="Body A"/>
              <w:spacing w:after="0" w:line="240" w:lineRule="auto"/>
              <w:ind w:left="0" w:firstLine="0"/>
              <w:jc w:val="center"/>
            </w:pPr>
            <w:r>
              <w:rPr>
                <w:rStyle w:val="None"/>
                <w:b w:val="1"/>
                <w:bCs w:val="1"/>
                <w:outline w:val="0"/>
                <w:color w:val="000000"/>
                <w:sz w:val="18"/>
                <w:szCs w:val="18"/>
                <w:u w:color="000000"/>
                <w:shd w:val="nil" w:color="auto" w:fill="auto"/>
                <w:rtl w:val="0"/>
                <w:lang w:val="en-US"/>
                <w14:textFill>
                  <w14:solidFill>
                    <w14:srgbClr w14:val="000000"/>
                  </w14:solidFill>
                </w14:textFill>
              </w:rPr>
              <w:t>Cost Header</w:t>
            </w:r>
          </w:p>
        </w:tc>
        <w:tc>
          <w:tcPr>
            <w:tcW w:type="dxa" w:w="2803"/>
            <w:tcBorders>
              <w:top w:val="single" w:color="000000" w:sz="8"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pStyle w:val="Body A"/>
              <w:spacing w:after="0" w:line="240" w:lineRule="auto"/>
              <w:ind w:left="0" w:firstLine="0"/>
              <w:jc w:val="center"/>
            </w:pPr>
            <w:r>
              <w:rPr>
                <w:rStyle w:val="None"/>
                <w:b w:val="1"/>
                <w:bCs w:val="1"/>
                <w:outline w:val="0"/>
                <w:color w:val="000000"/>
                <w:sz w:val="18"/>
                <w:szCs w:val="18"/>
                <w:u w:color="000000"/>
                <w:shd w:val="nil" w:color="auto" w:fill="auto"/>
                <w:rtl w:val="0"/>
                <w:lang w:val="en-US"/>
                <w14:textFill>
                  <w14:solidFill>
                    <w14:srgbClr w14:val="000000"/>
                  </w14:solidFill>
                </w14:textFill>
              </w:rPr>
              <w:t>Description</w:t>
            </w:r>
          </w:p>
        </w:tc>
        <w:tc>
          <w:tcPr>
            <w:tcW w:type="dxa" w:w="1360"/>
            <w:tcBorders>
              <w:top w:val="single" w:color="000000" w:sz="8" w:space="0" w:shadow="0" w:frame="0"/>
              <w:left w:val="single" w:color="000000" w:sz="4"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keepNext/>
              <w:pStyle w:val="Body A"/>
              <w:spacing w:after="0" w:line="240" w:lineRule="auto"/>
              <w:ind w:left="0" w:firstLine="0"/>
              <w:jc w:val="center"/>
            </w:pPr>
            <w:r>
              <w:rPr>
                <w:rStyle w:val="None"/>
                <w:b w:val="1"/>
                <w:bCs w:val="1"/>
                <w:outline w:val="0"/>
                <w:color w:val="000000"/>
                <w:sz w:val="18"/>
                <w:szCs w:val="18"/>
                <w:u w:color="000000"/>
                <w:shd w:val="nil" w:color="auto" w:fill="auto"/>
                <w:rtl w:val="0"/>
                <w:lang w:val="en-US"/>
                <w14:textFill>
                  <w14:solidFill>
                    <w14:srgbClr w14:val="000000"/>
                  </w14:solidFill>
                </w14:textFill>
              </w:rPr>
              <w:t>Indicative Cost</w:t>
            </w:r>
          </w:p>
        </w:tc>
      </w:tr>
      <w:tr>
        <w:tblPrEx>
          <w:shd w:val="clear" w:color="auto" w:fill="cad1d7"/>
        </w:tblPrEx>
        <w:trPr>
          <w:cantSplit/>
          <w:trHeight w:val="1080" w:hRule="atLeast"/>
        </w:trPr>
        <w:tc>
          <w:tcPr>
            <w:tcW w:type="dxa" w:w="1072"/>
            <w:tcBorders>
              <w:top w:val="single" w:color="000000" w:sz="4" w:space="0" w:shadow="0" w:frame="0"/>
              <w:left w:val="single" w:color="000000" w:sz="8"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pStyle w:val="Body A"/>
              <w:spacing w:after="0" w:line="240" w:lineRule="auto"/>
              <w:ind w:left="0" w:firstLine="0"/>
              <w:jc w:val="left"/>
            </w:pPr>
            <w:r>
              <w:rPr>
                <w:rStyle w:val="None"/>
                <w:outline w:val="0"/>
                <w:color w:val="000000"/>
                <w:sz w:val="18"/>
                <w:szCs w:val="18"/>
                <w:u w:color="000000"/>
                <w:shd w:val="nil" w:color="auto" w:fill="auto"/>
                <w:rtl w:val="0"/>
                <w:lang w:val="en-US"/>
                <w14:textFill>
                  <w14:solidFill>
                    <w14:srgbClr w14:val="000000"/>
                  </w14:solidFill>
                </w14:textFill>
              </w:rPr>
              <w:t>ATM Transaction Cost</w:t>
            </w:r>
          </w:p>
        </w:tc>
        <w:tc>
          <w:tcPr>
            <w:tcW w:type="dxa" w:w="2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keepNext/>
              <w:pStyle w:val="Body A"/>
              <w:spacing w:after="0" w:line="240" w:lineRule="auto"/>
              <w:ind w:left="0" w:firstLine="0"/>
              <w:jc w:val="left"/>
              <w:rPr>
                <w:rStyle w:val="None"/>
                <w:outline w:val="0"/>
                <w:color w:val="000000"/>
                <w:sz w:val="18"/>
                <w:szCs w:val="18"/>
                <w:u w:color="000000"/>
                <w:shd w:val="nil" w:color="auto" w:fill="auto"/>
                <w14:textFill>
                  <w14:solidFill>
                    <w14:srgbClr w14:val="000000"/>
                  </w14:solidFill>
                </w14:textFill>
              </w:rPr>
            </w:pPr>
            <w:r>
              <w:rPr>
                <w:rStyle w:val="None"/>
                <w:outline w:val="0"/>
                <w:color w:val="000000"/>
                <w:sz w:val="18"/>
                <w:szCs w:val="18"/>
                <w:u w:color="000000"/>
                <w:shd w:val="nil" w:color="auto" w:fill="auto"/>
                <w:rtl w:val="0"/>
                <w:lang w:val="en-US"/>
                <w14:textFill>
                  <w14:solidFill>
                    <w14:srgbClr w14:val="000000"/>
                  </w14:solidFill>
                </w14:textFill>
              </w:rPr>
              <w:t>Charges for ATM usage by cardholders</w:t>
            </w:r>
          </w:p>
          <w:p>
            <w:pPr>
              <w:keepNext/>
              <w:pStyle w:val="List Paragraph"/>
              <w:widowControl w:val="0"/>
              <w:numPr>
                <w:ilvl w:val="0"/>
                <w:numId w:val="4"/>
              </w:numPr>
              <w:bidi w:val="0"/>
              <w:spacing w:after="0" w:line="240" w:lineRule="auto"/>
              <w:ind w:right="0"/>
              <w:jc w:val="left"/>
              <w:rPr>
                <w:outline w:val="0"/>
                <w:color w:val="000000"/>
                <w:sz w:val="18"/>
                <w:szCs w:val="18"/>
                <w:u w:color="000000"/>
                <w:rtl w:val="0"/>
                <w:lang w:val="en-US"/>
                <w14:textFill>
                  <w14:solidFill>
                    <w14:srgbClr w14:val="000000"/>
                  </w14:solidFill>
                </w14:textFill>
              </w:rPr>
            </w:pPr>
            <w:r>
              <w:rPr>
                <w:rStyle w:val="None"/>
                <w:outline w:val="0"/>
                <w:color w:val="000000"/>
                <w:sz w:val="18"/>
                <w:szCs w:val="18"/>
                <w:u w:color="000000"/>
                <w:shd w:val="nil" w:color="auto" w:fill="auto"/>
                <w:rtl w:val="0"/>
                <w:lang w:val="en-US"/>
                <w14:textFill>
                  <w14:solidFill>
                    <w14:srgbClr w14:val="000000"/>
                  </w14:solidFill>
                </w14:textFill>
              </w:rPr>
              <w:t>Financial transactions</w:t>
            </w:r>
          </w:p>
          <w:p>
            <w:pPr>
              <w:keepNext/>
              <w:pStyle w:val="List Paragraph"/>
              <w:widowControl w:val="0"/>
              <w:numPr>
                <w:ilvl w:val="0"/>
                <w:numId w:val="4"/>
              </w:numPr>
              <w:bidi w:val="0"/>
              <w:spacing w:after="0" w:line="240" w:lineRule="auto"/>
              <w:ind w:right="0"/>
              <w:jc w:val="left"/>
              <w:rPr>
                <w:outline w:val="0"/>
                <w:color w:val="000000"/>
                <w:sz w:val="18"/>
                <w:szCs w:val="18"/>
                <w:u w:color="000000"/>
                <w:rtl w:val="0"/>
                <w:lang w:val="en-US"/>
                <w14:textFill>
                  <w14:solidFill>
                    <w14:srgbClr w14:val="000000"/>
                  </w14:solidFill>
                </w14:textFill>
              </w:rPr>
            </w:pPr>
            <w:r>
              <w:rPr>
                <w:rStyle w:val="None"/>
                <w:outline w:val="0"/>
                <w:color w:val="000000"/>
                <w:sz w:val="18"/>
                <w:szCs w:val="18"/>
                <w:u w:color="000000"/>
                <w:shd w:val="nil" w:color="auto" w:fill="auto"/>
                <w:rtl w:val="0"/>
                <w:lang w:val="en-US"/>
                <w14:textFill>
                  <w14:solidFill>
                    <w14:srgbClr w14:val="000000"/>
                  </w14:solidFill>
                </w14:textFill>
              </w:rPr>
              <w:t>Non-Financial transactions</w:t>
            </w:r>
          </w:p>
        </w:tc>
        <w:tc>
          <w:tcPr>
            <w:tcW w:type="dxa" w:w="1360"/>
            <w:tcBorders>
              <w:top w:val="single" w:color="000000" w:sz="4" w:space="0" w:shadow="0" w:frame="0"/>
              <w:left w:val="single" w:color="000000" w:sz="4"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bottom"/>
          </w:tcPr>
          <w:p>
            <w:pPr>
              <w:keepNext/>
              <w:pStyle w:val="Body A"/>
              <w:spacing w:after="0" w:line="240" w:lineRule="auto"/>
              <w:ind w:left="0" w:firstLine="0"/>
              <w:jc w:val="left"/>
              <w:rPr>
                <w:rStyle w:val="None"/>
                <w:outline w:val="0"/>
                <w:color w:val="000000"/>
                <w:sz w:val="18"/>
                <w:szCs w:val="18"/>
                <w:u w:color="000000"/>
                <w:shd w:val="nil" w:color="auto" w:fill="auto"/>
                <w14:textFill>
                  <w14:solidFill>
                    <w14:srgbClr w14:val="000000"/>
                  </w14:solidFill>
                </w14:textFill>
              </w:rPr>
            </w:pPr>
            <w:r>
              <w:rPr>
                <w:rStyle w:val="None"/>
                <w:outline w:val="0"/>
                <w:color w:val="000000"/>
                <w:sz w:val="18"/>
                <w:szCs w:val="18"/>
                <w:u w:color="000000"/>
                <w:shd w:val="nil" w:color="auto" w:fill="auto"/>
                <w:rtl w:val="0"/>
                <w:lang w:val="en-US"/>
                <w14:textFill>
                  <w14:solidFill>
                    <w14:srgbClr w14:val="000000"/>
                  </w14:solidFill>
                </w14:textFill>
              </w:rPr>
              <w:t>1. Rs 25+ GST</w:t>
            </w:r>
          </w:p>
          <w:p>
            <w:pPr>
              <w:keepNext/>
              <w:pStyle w:val="Body A"/>
              <w:bidi w:val="0"/>
              <w:ind w:left="0" w:right="0" w:firstLine="0"/>
              <w:jc w:val="both"/>
              <w:rPr>
                <w:rtl w:val="0"/>
              </w:rPr>
            </w:pPr>
            <w:r>
              <w:rPr>
                <w:rStyle w:val="None"/>
                <w:outline w:val="0"/>
                <w:color w:val="000000"/>
                <w:sz w:val="18"/>
                <w:szCs w:val="18"/>
                <w:u w:color="000000"/>
                <w:shd w:val="nil" w:color="auto" w:fill="auto"/>
                <w:rtl w:val="0"/>
                <w:lang w:val="en-US"/>
                <w14:textFill>
                  <w14:solidFill>
                    <w14:srgbClr w14:val="000000"/>
                  </w14:solidFill>
                </w14:textFill>
              </w:rPr>
              <w:t>2. Rs 10 +GST</w:t>
            </w:r>
          </w:p>
        </w:tc>
      </w:tr>
      <w:tr>
        <w:tblPrEx>
          <w:shd w:val="clear" w:color="auto" w:fill="cad1d7"/>
        </w:tblPrEx>
        <w:trPr>
          <w:cantSplit/>
          <w:trHeight w:val="466" w:hRule="atLeast"/>
        </w:trPr>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A"/>
              <w:spacing w:after="0" w:line="240" w:lineRule="auto"/>
              <w:ind w:left="0" w:firstLine="0"/>
              <w:jc w:val="left"/>
            </w:pPr>
            <w:r>
              <w:rPr>
                <w:rStyle w:val="None"/>
                <w:outline w:val="0"/>
                <w:color w:val="000000"/>
                <w:sz w:val="18"/>
                <w:szCs w:val="18"/>
                <w:u w:color="000000"/>
                <w:shd w:val="nil" w:color="auto" w:fill="auto"/>
                <w:rtl w:val="0"/>
                <w:lang w:val="en-US"/>
                <w14:textFill>
                  <w14:solidFill>
                    <w14:srgbClr w14:val="000000"/>
                  </w14:solidFill>
                </w14:textFill>
              </w:rPr>
              <w:t>Pre-fund</w:t>
            </w:r>
          </w:p>
        </w:tc>
        <w:tc>
          <w:tcPr>
            <w:tcW w:type="dxa" w:w="2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A"/>
              <w:spacing w:after="0" w:line="240" w:lineRule="auto"/>
              <w:ind w:left="0" w:firstLine="0"/>
              <w:jc w:val="left"/>
            </w:pPr>
            <w:r>
              <w:rPr>
                <w:rStyle w:val="None"/>
                <w:outline w:val="0"/>
                <w:color w:val="000000"/>
                <w:sz w:val="18"/>
                <w:szCs w:val="18"/>
                <w:u w:color="000000"/>
                <w:shd w:val="nil" w:color="auto" w:fill="auto"/>
                <w:rtl w:val="0"/>
                <w:lang w:val="en-US"/>
                <w14:textFill>
                  <w14:solidFill>
                    <w14:srgbClr w14:val="000000"/>
                  </w14:solidFill>
                </w14:textFill>
              </w:rPr>
              <w:t>SVC to be prefunded by the corporate</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List Paragraph"/>
        <w:widowControl w:val="0"/>
        <w:spacing w:line="240" w:lineRule="auto"/>
        <w:ind w:left="108" w:hanging="108"/>
        <w:jc w:val="left"/>
        <w:rPr>
          <w:rStyle w:val="None"/>
          <w:sz w:val="20"/>
          <w:szCs w:val="20"/>
        </w:rPr>
      </w:pPr>
    </w:p>
    <w:p>
      <w:pPr>
        <w:pStyle w:val="Body A"/>
        <w:ind w:left="0" w:firstLine="0"/>
        <w:rPr>
          <w:rStyle w:val="None"/>
          <w:rFonts w:ascii="Times New Roman" w:cs="Times New Roman" w:hAnsi="Times New Roman" w:eastAsia="Times New Roman"/>
          <w:sz w:val="20"/>
          <w:szCs w:val="20"/>
          <w:shd w:val="clear" w:color="auto" w:fill="ffffff"/>
        </w:rPr>
      </w:pPr>
      <w:r>
        <w:rPr>
          <w:rStyle w:val="None"/>
          <w:rFonts w:ascii="Times New Roman" w:hAnsi="Times New Roman"/>
          <w:b w:val="1"/>
          <w:bCs w:val="1"/>
          <w:sz w:val="20"/>
          <w:szCs w:val="20"/>
          <w:rtl w:val="0"/>
          <w:lang w:val="en-US"/>
        </w:rPr>
        <w:t>PRODUCT</w:t>
      </w:r>
      <w:r>
        <w:rPr>
          <w:rStyle w:val="None"/>
          <w:rFonts w:ascii="Times New Roman" w:hAnsi="Times New Roman"/>
          <w:sz w:val="20"/>
          <w:szCs w:val="20"/>
          <w:rtl w:val="0"/>
          <w:lang w:val="en-US"/>
        </w:rPr>
        <w:t xml:space="preserve">: </w:t>
      </w:r>
      <w:r>
        <w:rPr>
          <w:rStyle w:val="None"/>
          <w:rFonts w:ascii="Times New Roman" w:hAnsi="Times New Roman"/>
          <w:b w:val="1"/>
          <w:bCs w:val="1"/>
          <w:sz w:val="20"/>
          <w:szCs w:val="20"/>
          <w:rtl w:val="0"/>
          <w:lang w:val="da-DK"/>
        </w:rPr>
        <w:t>RELOADABLE</w:t>
      </w:r>
      <w:r>
        <w:rPr>
          <w:rStyle w:val="None"/>
          <w:rFonts w:ascii="Times New Roman" w:hAnsi="Times New Roman"/>
          <w:sz w:val="20"/>
          <w:szCs w:val="20"/>
          <w:rtl w:val="0"/>
          <w:lang w:val="en-US"/>
        </w:rPr>
        <w:t xml:space="preserve"> </w:t>
      </w:r>
      <w:r>
        <w:rPr>
          <w:rStyle w:val="None"/>
          <w:rFonts w:ascii="Times New Roman" w:hAnsi="Times New Roman"/>
          <w:b w:val="1"/>
          <w:bCs w:val="1"/>
          <w:sz w:val="20"/>
          <w:szCs w:val="20"/>
          <w:shd w:val="clear" w:color="auto" w:fill="ffffff"/>
          <w:rtl w:val="0"/>
          <w:lang w:val="es-ES_tradnl"/>
        </w:rPr>
        <w:t>RUPAY CARD (Variant)</w:t>
      </w:r>
    </w:p>
    <w:p>
      <w:pPr>
        <w:pStyle w:val="Body A"/>
        <w:rPr>
          <w:rStyle w:val="None"/>
          <w:rFonts w:ascii="Times New Roman" w:cs="Times New Roman" w:hAnsi="Times New Roman" w:eastAsia="Times New Roman"/>
          <w:sz w:val="20"/>
          <w:szCs w:val="20"/>
          <w:shd w:val="clear" w:color="auto" w:fill="ffffff"/>
        </w:rPr>
      </w:pPr>
      <w:r>
        <w:rPr>
          <w:rStyle w:val="None"/>
          <w:rFonts w:ascii="Times New Roman" w:hAnsi="Times New Roman"/>
          <w:sz w:val="20"/>
          <w:szCs w:val="20"/>
          <w:rtl w:val="0"/>
          <w:lang w:val="en-US"/>
        </w:rPr>
        <w:t xml:space="preserve">For Detailed Terms &amp; Conditions: Please refer to </w:t>
      </w:r>
      <w:r>
        <w:rPr>
          <w:rStyle w:val="Hyperlink.1"/>
        </w:rPr>
        <w:fldChar w:fldCharType="begin" w:fldLock="0"/>
      </w:r>
      <w:r>
        <w:rPr>
          <w:rStyle w:val="Hyperlink.1"/>
        </w:rPr>
        <w:instrText xml:space="preserve"> HYPERLINK "https://www.pineperks.in/termsConditions"</w:instrText>
      </w:r>
      <w:r>
        <w:rPr>
          <w:rStyle w:val="Hyperlink.1"/>
        </w:rPr>
        <w:fldChar w:fldCharType="separate" w:fldLock="0"/>
      </w:r>
      <w:r>
        <w:rPr>
          <w:rStyle w:val="Hyperlink.1"/>
          <w:rtl w:val="0"/>
        </w:rPr>
        <w:t>https://www.pineperks.in/termsConditions</w:t>
      </w:r>
      <w:r>
        <w:rPr/>
        <w:fldChar w:fldCharType="end" w:fldLock="0"/>
      </w:r>
      <w:r>
        <w:rPr>
          <w:rStyle w:val="None"/>
          <w:rFonts w:ascii="Times New Roman" w:hAnsi="Times New Roman"/>
          <w:sz w:val="20"/>
          <w:szCs w:val="20"/>
          <w:rtl w:val="0"/>
          <w:lang w:val="en-US"/>
        </w:rPr>
        <w:t xml:space="preserve"> depending on the variant opted for.</w:t>
      </w:r>
    </w:p>
    <w:sectPr>
      <w:headerReference w:type="default" r:id="rId6"/>
      <w:footerReference w:type="default" r:id="rId7"/>
      <w:pgSz w:w="11900" w:h="16840" w:orient="portrait"/>
      <w:pgMar w:top="720" w:right="477" w:bottom="720" w:left="540" w:header="720" w:footer="720"/>
      <w:cols w:space="27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clear" w:pos="4153"/>
        <w:tab w:val="clear" w:pos="8306"/>
      </w:tabs>
      <w:jc w:val="right"/>
    </w:pPr>
    <w:r>
      <w:rPr>
        <w:rFonts w:ascii="Calibri" w:cs="Calibri" w:hAnsi="Calibri" w:eastAsia="Calibri"/>
        <w:sz w:val="22"/>
        <w:szCs w:val="22"/>
      </w:rPr>
      <w:fldChar w:fldCharType="begin" w:fldLock="0"/>
    </w:r>
    <w:r>
      <w:rPr>
        <w:rFonts w:ascii="Calibri" w:cs="Calibri" w:hAnsi="Calibri" w:eastAsia="Calibri"/>
        <w:sz w:val="22"/>
        <w:szCs w:val="22"/>
      </w:rPr>
      <w:instrText xml:space="preserve"> PAGE </w:instrText>
    </w:r>
    <w:r>
      <w:rPr>
        <w:rFonts w:ascii="Calibri" w:cs="Calibri" w:hAnsi="Calibri" w:eastAsia="Calibri"/>
        <w:sz w:val="22"/>
        <w:szCs w:val="22"/>
      </w:rPr>
      <w:fldChar w:fldCharType="separate" w:fldLock="0"/>
    </w:r>
    <w:r>
      <w:rPr>
        <w:rFonts w:ascii="Calibri" w:cs="Calibri" w:hAnsi="Calibri" w:eastAsia="Calibri"/>
        <w:sz w:val="22"/>
        <w:szCs w:val="22"/>
      </w:rPr>
    </w:r>
    <w:r>
      <w:rPr>
        <w:rFonts w:ascii="Calibri" w:cs="Calibri" w:hAnsi="Calibri" w:eastAsia="Calibri"/>
        <w:sz w:val="22"/>
        <w:szCs w:val="2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7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80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80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216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16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16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50" w:line="248" w:lineRule="auto"/>
      <w:ind w:left="10" w:right="0" w:hanging="10"/>
      <w:jc w:val="both"/>
      <w:outlineLvl w:val="9"/>
    </w:pPr>
    <w:rPr>
      <w:rFonts w:ascii="Calibri" w:cs="Arial Unicode MS" w:hAnsi="Calibri" w:eastAsia="Arial Unicode MS"/>
      <w:b w:val="0"/>
      <w:bCs w:val="0"/>
      <w:i w:val="0"/>
      <w:iCs w:val="0"/>
      <w:caps w:val="0"/>
      <w:smallCaps w:val="0"/>
      <w:strike w:val="0"/>
      <w:dstrike w:val="0"/>
      <w:outline w:val="0"/>
      <w:color w:val="181717"/>
      <w:spacing w:val="0"/>
      <w:kern w:val="0"/>
      <w:position w:val="0"/>
      <w:sz w:val="22"/>
      <w:szCs w:val="22"/>
      <w:u w:val="none" w:color="181717"/>
      <w:shd w:val="nil" w:color="auto" w:fill="auto"/>
      <w:vertAlign w:val="baseline"/>
      <w:lang w:val="en-US"/>
      <w14:textOutline w14:w="12700" w14:cap="flat">
        <w14:noFill/>
        <w14:miter w14:lim="400000"/>
      </w14:textOutline>
      <w14:textFill>
        <w14:solidFill>
          <w14:srgbClr w14:val="181717"/>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50" w:line="248" w:lineRule="auto"/>
      <w:ind w:left="720" w:right="0" w:hanging="10"/>
      <w:jc w:val="both"/>
      <w:outlineLvl w:val="9"/>
    </w:pPr>
    <w:rPr>
      <w:rFonts w:ascii="Calibri" w:cs="Calibri" w:hAnsi="Calibri" w:eastAsia="Calibri"/>
      <w:b w:val="0"/>
      <w:bCs w:val="0"/>
      <w:i w:val="0"/>
      <w:iCs w:val="0"/>
      <w:caps w:val="0"/>
      <w:smallCaps w:val="0"/>
      <w:strike w:val="0"/>
      <w:dstrike w:val="0"/>
      <w:outline w:val="0"/>
      <w:color w:val="181717"/>
      <w:spacing w:val="0"/>
      <w:kern w:val="0"/>
      <w:position w:val="0"/>
      <w:sz w:val="22"/>
      <w:szCs w:val="22"/>
      <w:u w:val="none" w:color="181717"/>
      <w:shd w:val="nil" w:color="auto" w:fill="auto"/>
      <w:vertAlign w:val="baseline"/>
      <w:lang w:val="en-US"/>
      <w14:textFill>
        <w14:solidFill>
          <w14:srgbClr w14:val="181717"/>
        </w14:solidFill>
      </w14:textFill>
    </w:rPr>
  </w:style>
  <w:style w:type="paragraph" w:styleId="Body A A">
    <w:name w:val="Body A A"/>
    <w:next w:val="Body A A"/>
    <w:pPr>
      <w:keepNext w:val="0"/>
      <w:keepLines w:val="0"/>
      <w:pageBreakBefore w:val="0"/>
      <w:widowControl w:val="1"/>
      <w:shd w:val="clear" w:color="auto" w:fill="auto"/>
      <w:suppressAutoHyphens w:val="0"/>
      <w:bidi w:val="0"/>
      <w:spacing w:before="0" w:after="250" w:line="248" w:lineRule="auto"/>
      <w:ind w:left="10" w:right="0" w:hanging="10"/>
      <w:jc w:val="both"/>
      <w:outlineLvl w:val="9"/>
    </w:pPr>
    <w:rPr>
      <w:rFonts w:ascii="Calibri" w:cs="Calibri" w:hAnsi="Calibri" w:eastAsia="Calibri"/>
      <w:b w:val="0"/>
      <w:bCs w:val="0"/>
      <w:i w:val="0"/>
      <w:iCs w:val="0"/>
      <w:caps w:val="0"/>
      <w:smallCaps w:val="0"/>
      <w:strike w:val="0"/>
      <w:dstrike w:val="0"/>
      <w:outline w:val="0"/>
      <w:color w:val="181717"/>
      <w:spacing w:val="0"/>
      <w:kern w:val="0"/>
      <w:position w:val="0"/>
      <w:sz w:val="22"/>
      <w:szCs w:val="22"/>
      <w:u w:val="none" w:color="181717"/>
      <w:shd w:val="nil" w:color="auto" w:fill="auto"/>
      <w:vertAlign w:val="baseline"/>
      <w:lang w:val="en-US"/>
      <w14:textOutline w14:w="12700" w14:cap="flat">
        <w14:noFill/>
        <w14:miter w14:lim="400000"/>
      </w14:textOutline>
      <w14:textFill>
        <w14:solidFill>
          <w14:srgbClr w14:val="181717"/>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00"/>
      <w:sz w:val="20"/>
      <w:szCs w:val="20"/>
      <w:u w:val="single" w:color="000000"/>
      <w14:textFill>
        <w14:solidFill>
          <w14:srgbClr w14:val="000000"/>
        </w14:solidFill>
      </w14:textFill>
    </w:rPr>
  </w:style>
  <w:style w:type="character" w:styleId="Hyperlink.1">
    <w:name w:val="Hyperlink.1"/>
    <w:basedOn w:val="None"/>
    <w:next w:val="Hyperlink.1"/>
    <w:rPr>
      <w:rFonts w:ascii="Times New Roman" w:cs="Times New Roman" w:hAnsi="Times New Roman" w:eastAsia="Times New Roman"/>
      <w:outline w:val="0"/>
      <w:color w:val="000000"/>
      <w:sz w:val="20"/>
      <w:szCs w:val="20"/>
      <w:u w:val="single" w:color="000000"/>
      <w14:textFill>
        <w14:solidFill>
          <w14:srgbClr w14:val="000000"/>
        </w14:solidFill>
      </w14:textFill>
    </w:rPr>
  </w:style>
  <w:style w:type="paragraph" w:styleId="Colorful List - Accent 11">
    <w:name w:val="Colorful List - Accent 11"/>
    <w:next w:val="Colorful List - Accent 11"/>
    <w:pPr>
      <w:keepNext w:val="0"/>
      <w:keepLines w:val="0"/>
      <w:pageBreakBefore w:val="0"/>
      <w:widowControl w:val="0"/>
      <w:shd w:val="clear" w:color="auto" w:fill="auto"/>
      <w:suppressAutoHyphens w:val="0"/>
      <w:bidi w:val="0"/>
      <w:spacing w:before="0" w:after="0" w:line="240" w:lineRule="auto"/>
      <w:ind w:left="72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