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Refinement Review — Notebook Course</w:t>
      </w:r>
    </w:p>
    <w:p>
      <w:pPr>
        <w:spacing w:after="100"/>
      </w:pPr>
      <w:r>
        <w:rPr>
          <w:i/>
          <w:iCs/>
          <w:color w:val="555555"/>
        </w:rPr>
        <w:t xml:space="preserve">Python for AI-Driven Automation and Business Data Science</w:t>
      </w:r>
    </w:p>
    <w:p>
      <w:pPr>
        <w:spacing w:after="100"/>
      </w:pPr>
      <w:r>
        <w:t xml:space="preserve">Reviewer notes generated 2026-05-27, based on an end-to-end execution + structural audit of all 55 notebooks.</w:t>
      </w:r>
    </w:p>
    <w:p>
      <w:pPr>
        <w:spacing w:after="100"/>
      </w:pPr>
      <w:r>
        <w:t xml:space="preserve"/>
      </w:r>
    </w:p>
    <w:p>
      <w:pPr>
        <w:pStyle w:val="Heading2"/>
      </w:pPr>
      <w:r>
        <w:t xml:space="preserve">Executive summary</w:t>
      </w:r>
    </w:p>
    <w:p>
      <w:pPr>
        <w:spacing w:after="100"/>
      </w:pPr>
      <w:r>
        <w:t xml:space="preserve">The course is in good shape: every notebook runs cleanly against the requirements.txt stack (see the companion execution report). What's holding it back from feeling fully polished is structural drift — two parallel layouts that share content, a README/onboarding/filesystem trio that no longer agrees with itself, a few large copy-pasted code blocks, and a missing 'normalize the notebooks' step that has left cell IDs and rendered outputs in inconsistent states.</w:t>
      </w:r>
    </w:p>
    <w:p>
      <w:pPr>
        <w:spacing w:after="100"/>
      </w:pPr>
      <w:r>
        <w:t xml:space="preserve">None of these are bugs in the teaching content. They're hygiene issues that compound: a new learner who lands in the repo currently has to figure out three things before they can start (which course version, where things are numbered, why something is missing) instead of one (open the onboarding notebook).</w:t>
      </w:r>
    </w:p>
    <w:p>
      <w:pPr>
        <w:spacing w:after="100"/>
      </w:pPr>
      <w:r>
        <w:t xml:space="preserve">Eleven findings follow, ordered by severity. The table is a quick map; each finding then has its own section with evidence and a concrete fix.</w:t>
      </w:r>
    </w:p>
    <w:p>
      <w:pPr>
        <w:spacing w:after="100"/>
      </w:pPr>
      <w:r>
        <w:t xml:space="preserve"/>
      </w:r>
    </w:p>
    <w:p>
      <w:pPr>
        <w:pStyle w:val="Heading2"/>
      </w:pPr>
      <w:r>
        <w:t xml:space="preserve">Findings at a glance</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580"/>
        <w:gridCol w:w="1300"/>
        <w:gridCol w:w="5700"/>
        <w:gridCol w:w="1740"/>
      </w:tblGrid>
      <w:tr>
        <w:trPr>
          <w:tblHeader/>
        </w:trPr>
        <w:tc>
          <w:tcPr>
            <w:tcW w:type="dxa" w:w="5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b/>
                <w:bCs/>
                <w:color w:val="FFFFFF"/>
              </w:rPr>
              <w:t xml:space="preserve">#</w:t>
            </w:r>
          </w:p>
        </w:tc>
        <w:tc>
          <w:tcPr>
            <w:tcW w:type="dxa" w:w="13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b/>
                <w:bCs/>
                <w:color w:val="FFFFFF"/>
              </w:rPr>
              <w:t xml:space="preserve">Severity</w:t>
            </w:r>
          </w:p>
        </w:tc>
        <w:tc>
          <w:tcPr>
            <w:tcW w:type="dxa" w:w="5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left"/>
            </w:pPr>
            <w:r>
              <w:rPr>
                <w:b/>
                <w:bCs/>
                <w:color w:val="FFFFFF"/>
              </w:rPr>
              <w:t xml:space="preserve">Finding</w:t>
            </w:r>
          </w:p>
        </w:tc>
        <w:tc>
          <w:tcPr>
            <w:tcW w:type="dxa" w:w="17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b/>
                <w:bCs/>
                <w:color w:val="FFFFFF"/>
              </w:rPr>
              <w:t xml:space="preserve">Where</w:t>
            </w:r>
          </w:p>
        </w:tc>
      </w:tr>
      <w:tr>
        <w:tc>
          <w:tcPr>
            <w:tcW w:type="dxa" w:w="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w:t>
            </w:r>
          </w:p>
        </w:tc>
        <w:tc>
          <w:tcPr>
            <w:tcW w:type="dxa" w:w="13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b/>
                <w:bCs/>
                <w:color w:val="9C0006"/>
              </w:rPr>
              <w:t xml:space="preserve">HIGH</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Two parallel course layouts coexist; learner can pick the wrong one</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color w:val="555555"/>
              </w:rPr>
              <w:t xml:space="preserve">repo root vs refined_course/</w:t>
            </w:r>
          </w:p>
        </w:tc>
      </w:tr>
      <w:tr>
        <w:tc>
          <w:tcPr>
            <w:tcW w:type="dxa" w:w="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2</w:t>
            </w:r>
          </w:p>
        </w:tc>
        <w:tc>
          <w:tcPr>
            <w:tcW w:type="dxa" w:w="13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b/>
                <w:bCs/>
                <w:color w:val="9C0006"/>
              </w:rPr>
              <w:t xml:space="preserve">HIGH</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README, onboarding, and filesystem disagree on what notebooks exist</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color w:val="555555"/>
              </w:rPr>
              <w:t xml:space="preserve">README.md, 00_master_onboarding.ipynb</w:t>
            </w:r>
          </w:p>
        </w:tc>
      </w:tr>
      <w:tr>
        <w:tc>
          <w:tcPr>
            <w:tcW w:type="dxa" w:w="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3</w:t>
            </w:r>
          </w:p>
        </w:tc>
        <w:tc>
          <w:tcPr>
            <w:tcW w:type="dxa" w:w="13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b/>
                <w:bCs/>
                <w:color w:val="9C0006"/>
              </w:rPr>
              <w:t xml:space="preserve">HIGH</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Numbering gaps: NB 06, 09, 25 missing — promised but not delivered</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color w:val="555555"/>
              </w:rPr>
              <w:t xml:space="preserve">refined_course/</w:t>
            </w:r>
          </w:p>
        </w:tc>
      </w:tr>
      <w:tr>
        <w:tc>
          <w:tcPr>
            <w:tcW w:type="dxa" w:w="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4</w:t>
            </w:r>
          </w:p>
        </w:tc>
        <w:tc>
          <w:tcPr>
            <w:tcW w:type="dxa" w:w="13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pPr>
              <w:jc w:val="center"/>
            </w:pPr>
            <w:r>
              <w:rPr>
                <w:b/>
                <w:bCs/>
                <w:color w:val="9C5700"/>
              </w:rPr>
              <w:t xml:space="preserve">MEDIUM</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MockLLM (~120 lines) is duplicated inline across 5 notebooks</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color w:val="555555"/>
              </w:rPr>
              <w:t xml:space="preserve">11, 16, 18, 20, 22 (and refined twins)</w:t>
            </w:r>
          </w:p>
        </w:tc>
      </w:tr>
      <w:tr>
        <w:tc>
          <w:tcPr>
            <w:tcW w:type="dxa" w:w="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5</w:t>
            </w:r>
          </w:p>
        </w:tc>
        <w:tc>
          <w:tcPr>
            <w:tcW w:type="dxa" w:w="13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pPr>
              <w:jc w:val="center"/>
            </w:pPr>
            <w:r>
              <w:rPr>
                <w:b/>
                <w:bCs/>
                <w:color w:val="9C5700"/>
              </w:rPr>
              <w:t xml:space="preserve">MEDIUM</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Appendix notebooks ship pre-rendered outputs while main notebooks don't</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color w:val="555555"/>
              </w:rPr>
              <w:t xml:space="preserve">refined_course/**/A*.ipynb</w:t>
            </w:r>
          </w:p>
        </w:tc>
      </w:tr>
      <w:tr>
        <w:tc>
          <w:tcPr>
            <w:tcW w:type="dxa" w:w="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6</w:t>
            </w:r>
          </w:p>
        </w:tc>
        <w:tc>
          <w:tcPr>
            <w:tcW w:type="dxa" w:w="13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pPr>
              <w:jc w:val="center"/>
            </w:pPr>
            <w:r>
              <w:rPr>
                <w:b/>
                <w:bCs/>
                <w:color w:val="9C5700"/>
              </w:rPr>
              <w:t xml:space="preserve">MEDIUM</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45 of 55 notebooks have cells missing the nbformat `id` field</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color w:val="555555"/>
              </w:rPr>
              <w:t xml:space="preserve">almost every notebook</w:t>
            </w:r>
          </w:p>
        </w:tc>
      </w:tr>
      <w:tr>
        <w:tc>
          <w:tcPr>
            <w:tcW w:type="dxa" w:w="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7</w:t>
            </w:r>
          </w:p>
        </w:tc>
        <w:tc>
          <w:tcPr>
            <w:tcW w:type="dxa" w:w="13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pPr>
              <w:jc w:val="center"/>
            </w:pPr>
            <w:r>
              <w:rPr>
                <w:b/>
                <w:bCs/>
                <w:color w:val="9C5700"/>
              </w:rPr>
              <w:t xml:space="preserve">MEDIUM</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Appendix notebooks lack the pedagogical scaffolding of main notebooks (no Solutions, no Debug-me)</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color w:val="555555"/>
              </w:rPr>
              <w:t xml:space="preserve">all 11 A* appendices</w:t>
            </w:r>
          </w:p>
        </w:tc>
      </w:tr>
      <w:tr>
        <w:tc>
          <w:tcPr>
            <w:tcW w:type="dxa" w:w="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8</w:t>
            </w:r>
          </w:p>
        </w:tc>
        <w:tc>
          <w:tcPr>
            <w:tcW w:type="dxa" w:w="13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LOW</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Several code cells are very long (3–5k chars / 100+ lines)</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color w:val="555555"/>
              </w:rPr>
              <w:t xml:space="preserve">18_ai_workflows, 16_tools_and_agents, ...</w:t>
            </w:r>
          </w:p>
        </w:tc>
      </w:tr>
      <w:tr>
        <w:tc>
          <w:tcPr>
            <w:tcW w:type="dxa" w:w="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9</w:t>
            </w:r>
          </w:p>
        </w:tc>
        <w:tc>
          <w:tcPr>
            <w:tcW w:type="dxa" w:w="13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LOW</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data/ folder is duplicated identically at top-level and inside refined_course/</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color w:val="555555"/>
              </w:rPr>
              <w:t xml:space="preserve">data/, refined_course/data/</w:t>
            </w:r>
          </w:p>
        </w:tc>
      </w:tr>
      <w:tr>
        <w:tc>
          <w:tcPr>
            <w:tcW w:type="dxa" w:w="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10</w:t>
            </w:r>
          </w:p>
        </w:tc>
        <w:tc>
          <w:tcPr>
            <w:tcW w:type="dxa" w:w="13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LOW</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Intentional 🐞 Debug-me cells produce real tracebacks on Run-All — easy to misread as a bug</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color w:val="555555"/>
              </w:rPr>
              <w:t xml:space="preserve">01_python_basics and others</w:t>
            </w:r>
          </w:p>
        </w:tc>
      </w:tr>
      <w:tr>
        <w:tc>
          <w:tcPr>
            <w:tcW w:type="dxa" w:w="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val="false"/>
                <w:bCs w:val="false"/>
              </w:rPr>
              <w:t xml:space="preserve">11</w:t>
            </w:r>
          </w:p>
        </w:tc>
        <w:tc>
          <w:tcPr>
            <w:tcW w:type="dxa" w:w="13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b/>
                <w:bCs/>
                <w:color w:val="006100"/>
              </w:rPr>
              <w:t xml:space="preserve">LOW</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rPr>
              <w:t xml:space="preserve">No CI / automated test that runs every notebook and catches drift</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color w:val="555555"/>
              </w:rPr>
              <w:t xml:space="preserve">repo-wide</w:t>
            </w:r>
          </w:p>
        </w:tc>
      </w:tr>
    </w:tbl>
    <w:p>
      <w:pPr>
        <w:spacing w:after="100"/>
      </w:pPr>
      <w:r>
        <w:t xml:space="preserve"/>
      </w:r>
    </w:p>
    <w:p>
      <w:pPr>
        <w:pStyle w:val="Heading2"/>
      </w:pPr>
      <w:r>
        <w:t xml:space="preserve">1. Two parallel course layouts coexist  [HIGH]</w:t>
      </w:r>
    </w:p>
    <w:p>
      <w:pPr>
        <w:spacing w:after="100"/>
      </w:pPr>
      <w:r>
        <w:t xml:space="preserve">The repository ships both the original 19-notebook flat layout (top-level) and the refined 7-module layout under refined_course/. The refined README says “The original course remains untouched in the parent directory” — but the original is still fully runnable, has its own data/ folder, its own requirements.txt, and gets executed by anyone who clones the repo without reading the README first.</w:t>
      </w:r>
    </w:p>
    <w:p>
      <w:pPr>
        <w:spacing w:after="100"/>
      </w:pPr>
      <w:r>
        <w:rPr>
          <w:b/>
          <w:bCs/>
        </w:rPr>
        <w:t xml:space="preserve">Evidence:</w:t>
      </w:r>
    </w:p>
    <w:p>
      <w:pPr>
        <w:pStyle w:val="ListParagraph"/>
        <w:numPr>
          <w:ilvl w:val="0"/>
          <w:numId w:val="2"/>
        </w:numPr>
        <w:spacing w:after="60"/>
      </w:pPr>
      <w:r>
        <w:t xml:space="preserve">Top-level: 19 .ipynb files + data/ (3 CSVs) + requirements.txt + slides/</w:t>
      </w:r>
    </w:p>
    <w:p>
      <w:pPr>
        <w:pStyle w:val="ListParagraph"/>
        <w:numPr>
          <w:ilvl w:val="0"/>
          <w:numId w:val="2"/>
        </w:numPr>
        <w:spacing w:after="60"/>
      </w:pPr>
      <w:r>
        <w:t xml:space="preserve">refined_course/: 36 .ipynb files + data/ (same 3 CSVs, byte-identical) + its own requirements.txt + its own slides/</w:t>
      </w:r>
    </w:p>
    <w:p>
      <w:pPr>
        <w:pStyle w:val="ListParagraph"/>
        <w:numPr>
          <w:ilvl w:val="0"/>
          <w:numId w:val="2"/>
        </w:numPr>
        <w:spacing w:after="60"/>
      </w:pPr>
      <w:r>
        <w:t xml:space="preserve">The two requirements.txt files differ — the refined one lists more optional providers and forecasting libs</w:t>
      </w:r>
    </w:p>
    <w:p>
      <w:pPr>
        <w:pStyle w:val="ListParagraph"/>
        <w:numPr>
          <w:ilvl w:val="0"/>
          <w:numId w:val="2"/>
        </w:numPr>
        <w:spacing w:after="60"/>
      </w:pPr>
      <w:r>
        <w:t xml:space="preserve">Top-level NB 07 is numpy_fundamentals; refined NB 11 is numpy_fundamentals. The numbering is reused across layouts, so 'NB 7' is ambiguous</w:t>
      </w:r>
    </w:p>
    <w:p>
      <w:pPr>
        <w:spacing w:after="100"/>
      </w:pPr>
      <w:r>
        <w:rPr>
          <w:b/>
          <w:bCs/>
        </w:rPr>
        <w:t xml:space="preserve">Why it matters:</w:t>
      </w:r>
    </w:p>
    <w:p>
      <w:pPr>
        <w:spacing w:after="100"/>
      </w:pPr>
      <w:r>
        <w:t xml:space="preserve">A learner who opens 07_numpy_fundamentals.ipynb at the top level and a learner who opens 02_real_world_io/07_apis_and_http.ipynb both believe they're doing 'NB 7'. The README on the parent folder is generic and doesn't redirect new users into refined_course/. The course-overview PDF also lives in two places.</w:t>
      </w:r>
    </w:p>
    <w:p>
      <w:pPr>
        <w:pStyle w:val="ListParagraph"/>
        <w:numPr>
          <w:ilvl w:val="0"/>
          <w:numId w:val="2"/>
        </w:numPr>
        <w:spacing w:after="60"/>
      </w:pPr>
      <w:r>
        <w:t xml:space="preserve">Fix: Pick one layout as canonical (refined_course/) and either (a) delete the top-level duplicates outright, (b) move them under refined_course/legacy/, or (c) keep them but add a prominent banner to the top-level README: ‘👉 Looking for the current course? Open refined_course/00_onboarding/.’ Right now neither README does this.</w:t>
      </w:r>
    </w:p>
    <w:p>
      <w:pPr>
        <w:spacing w:after="100"/>
      </w:pPr>
      <w:r>
        <w:t xml:space="preserve"/>
      </w:r>
    </w:p>
    <w:p>
      <w:pPr>
        <w:pStyle w:val="Heading2"/>
      </w:pPr>
      <w:r>
        <w:t xml:space="preserve">2. README, onboarding, and filesystem disagree  [HIGH]</w:t>
      </w:r>
    </w:p>
    <w:p>
      <w:pPr>
        <w:spacing w:after="100"/>
      </w:pPr>
      <w:r>
        <w:t xml:space="preserve">Three sources of truth describe the curriculum and none of them match each other:</w:t>
      </w:r>
    </w:p>
    <w:p>
      <w:pPr>
        <w:pStyle w:val="ListParagraph"/>
        <w:numPr>
          <w:ilvl w:val="0"/>
          <w:numId w:val="2"/>
        </w:numPr>
        <w:spacing w:after="60"/>
      </w:pPr>
      <w:r>
        <w:rPr>
          <w:b/>
          <w:bCs/>
        </w:rPr>
        <w:t xml:space="preserve">Onboarding NB 0</w:t>
      </w:r>
      <w:r>
        <w:t xml:space="preserve"> says Module 1 = NB 1–6 and Module 6 = NB 23–25</w:t>
      </w:r>
    </w:p>
    <w:p>
      <w:pPr>
        <w:pStyle w:val="ListParagraph"/>
        <w:numPr>
          <w:ilvl w:val="0"/>
          <w:numId w:val="2"/>
        </w:numPr>
        <w:spacing w:after="60"/>
      </w:pPr>
      <w:r>
        <w:rPr>
          <w:b/>
          <w:bCs/>
        </w:rPr>
        <w:t xml:space="preserve">refined_course/README.md</w:t>
      </w:r>
      <w:r>
        <w:t xml:space="preserve"> says Module 1 = NB 1–5 and Module 6 = NB 23–24</w:t>
      </w:r>
    </w:p>
    <w:p>
      <w:pPr>
        <w:pStyle w:val="ListParagraph"/>
        <w:numPr>
          <w:ilvl w:val="0"/>
          <w:numId w:val="2"/>
        </w:numPr>
        <w:spacing w:after="60"/>
      </w:pPr>
      <w:r>
        <w:rPr>
          <w:b/>
          <w:bCs/>
        </w:rPr>
        <w:t xml:space="preserve">Filesystem</w:t>
      </w:r>
      <w:r>
        <w:t xml:space="preserve"> has NB 1, 2, 3, 4, 5 (no 6) and NB 23, 24 (no 25)</w:t>
      </w:r>
    </w:p>
    <w:p>
      <w:pPr>
        <w:spacing w:after="100"/>
      </w:pPr>
      <w:r>
        <w:t xml:space="preserve">The README also opens with: “*Refined edition — 7 modules, 26 notebooks, end-to-end.*” Actual count is 24 numbered notebooks + the onboarding notebook = 25, not 26. With the 11 A* appendices counted, it’s 36.</w:t>
      </w:r>
    </w:p>
    <w:p>
      <w:pPr>
        <w:spacing w:after="100"/>
      </w:pPr>
      <w:r>
        <w:rPr>
          <w:b/>
          <w:bCs/>
        </w:rPr>
        <w:t xml:space="preserve">Why it matters:</w:t>
      </w:r>
    </w:p>
    <w:p>
      <w:pPr>
        <w:spacing w:after="100"/>
      </w:pPr>
      <w:r>
        <w:t xml:space="preserve">Course materials that contradict themselves erode trust at exactly the moment when learners are most uncertain (first hour). It also makes the onboarding's “learning paths” section impossible to follow literally — an analyst who tries to “fully engage Modules 2–4, 7” will be hunting for NB 6 that doesn't exist.</w:t>
      </w:r>
    </w:p>
    <w:p>
      <w:pPr>
        <w:pStyle w:val="ListParagraph"/>
        <w:numPr>
          <w:ilvl w:val="0"/>
          <w:numId w:val="2"/>
        </w:numPr>
        <w:spacing w:after="60"/>
      </w:pPr>
      <w:r>
        <w:t xml:space="preserve">Fix: Make the README, onboarding, and filesystem agree. Easiest path: drop the “NB 6” and “NB 23–25” references in onboarding, update the headline to “25 notebooks” (or “35 incl. appendices”), and add a CI check that fails if any markdown file references a notebook number that doesn't exist on disk.</w:t>
      </w:r>
    </w:p>
    <w:p>
      <w:pPr>
        <w:spacing w:after="100"/>
      </w:pPr>
      <w:r>
        <w:t xml:space="preserve"/>
      </w:r>
    </w:p>
    <w:p>
      <w:pPr>
        <w:pStyle w:val="Heading2"/>
      </w:pPr>
      <w:r>
        <w:t xml:space="preserve">3. Numbering gaps: NB 06, 09, 25 missing  [HIGH]</w:t>
      </w:r>
    </w:p>
    <w:p>
      <w:pPr>
        <w:spacing w:after="100"/>
      </w:pPr>
      <w:r>
        <w:t xml:space="preserve">Refined-course numbered notebooks: 01, 02, 03, 04, 05, 07, 08, 10, 11, 12, 13, 14, 15, 16, 17, 18, 19, 20, 21, 22, 23, 24, 26, 27. Three gaps:</w:t>
      </w:r>
    </w:p>
    <w:p>
      <w:pPr>
        <w:pStyle w:val="ListParagraph"/>
        <w:numPr>
          <w:ilvl w:val="0"/>
          <w:numId w:val="2"/>
        </w:numPr>
        <w:spacing w:after="60"/>
      </w:pPr>
      <w:r>
        <w:rPr>
          <w:b/>
          <w:bCs/>
        </w:rPr>
        <w:t xml:space="preserve">NB 06</w:t>
      </w:r>
      <w:r>
        <w:t xml:space="preserve"> — between functions/modules and APIs. Onboarding implies it exists (NB 1–6)</w:t>
      </w:r>
    </w:p>
    <w:p>
      <w:pPr>
        <w:pStyle w:val="ListParagraph"/>
        <w:numPr>
          <w:ilvl w:val="0"/>
          <w:numId w:val="2"/>
        </w:numPr>
        <w:spacing w:after="60"/>
      </w:pPr>
      <w:r>
        <w:rPr>
          <w:b/>
          <w:bCs/>
        </w:rPr>
        <w:t xml:space="preserve">NB 09</w:t>
      </w:r>
      <w:r>
        <w:t xml:space="preserve"> — between SQL and pandas. Module 2 README says NB 7–9 but only 7 and 8 exist; nothing visible in the README clarifies that 09 was renumbered or dropped</w:t>
      </w:r>
    </w:p>
    <w:p>
      <w:pPr>
        <w:pStyle w:val="ListParagraph"/>
        <w:numPr>
          <w:ilvl w:val="0"/>
          <w:numId w:val="2"/>
        </w:numPr>
        <w:spacing w:after="60"/>
      </w:pPr>
      <w:r>
        <w:rPr>
          <w:b/>
          <w:bCs/>
        </w:rPr>
        <w:t xml:space="preserve">NB 25</w:t>
      </w:r>
      <w:r>
        <w:t xml:space="preserve"> — between scheduling and the analytics capstone. Onboarding promises NB 23–25 for the Production module</w:t>
      </w:r>
    </w:p>
    <w:p>
      <w:pPr>
        <w:spacing w:after="100"/>
      </w:pPr>
      <w:r>
        <w:t xml:space="preserve">Either the gaps are intentional renumbering (in which case the numbering should be made dense again, e.g. 06 → 06, 25 → 25), or they're truly missing notebooks (in which case write them or remove the references).</w:t>
      </w:r>
    </w:p>
    <w:p>
      <w:pPr>
        <w:pStyle w:val="ListParagraph"/>
        <w:numPr>
          <w:ilvl w:val="0"/>
          <w:numId w:val="2"/>
        </w:numPr>
        <w:spacing w:after="60"/>
      </w:pPr>
      <w:r>
        <w:t xml:space="preserve">Fix: Renumber to remove gaps OR backfill the three missing notebooks. Easier and lower-risk: renumber so the sequence is dense, then update every cross-reference in one pass.</w:t>
      </w:r>
    </w:p>
    <w:p>
      <w:pPr>
        <w:spacing w:after="100"/>
      </w:pPr>
      <w:r>
        <w:t xml:space="preserve"/>
      </w:r>
    </w:p>
    <w:p>
      <w:pPr>
        <w:pStyle w:val="Heading2"/>
      </w:pPr>
      <w:r>
        <w:t xml:space="preserve">4. MockLLM is duplicated inline across five notebooks  [MEDIUM]</w:t>
      </w:r>
    </w:p>
    <w:p>
      <w:pPr>
        <w:spacing w:after="100"/>
      </w:pPr>
      <w:r>
        <w:t xml:space="preserve">A ~120-line MockLLM class lives as a 4,974-character code cell at the top of:</w:t>
      </w:r>
    </w:p>
    <w:p>
      <w:pPr>
        <w:pStyle w:val="ListParagraph"/>
        <w:numPr>
          <w:ilvl w:val="0"/>
          <w:numId w:val="2"/>
        </w:numPr>
        <w:spacing w:after="60"/>
      </w:pPr>
      <w:r>
        <w:t xml:space="preserve">11_ai_assisted_workflows.ipynb (top-level)</w:t>
      </w:r>
    </w:p>
    <w:p>
      <w:pPr>
        <w:pStyle w:val="ListParagraph"/>
        <w:numPr>
          <w:ilvl w:val="0"/>
          <w:numId w:val="2"/>
        </w:numPr>
        <w:spacing w:after="60"/>
      </w:pPr>
      <w:r>
        <w:t xml:space="preserve">16_tools_and_agents.ipynb (top-level) — same class plus tool wiring</w:t>
      </w:r>
    </w:p>
    <w:p>
      <w:pPr>
        <w:pStyle w:val="ListParagraph"/>
        <w:numPr>
          <w:ilvl w:val="0"/>
          <w:numId w:val="2"/>
        </w:numPr>
        <w:spacing w:after="60"/>
      </w:pPr>
      <w:r>
        <w:t xml:space="preserve">refined_course/05_ai_engineering/18_ai_workflows.ipynb</w:t>
      </w:r>
    </w:p>
    <w:p>
      <w:pPr>
        <w:pStyle w:val="ListParagraph"/>
        <w:numPr>
          <w:ilvl w:val="0"/>
          <w:numId w:val="2"/>
        </w:numPr>
        <w:spacing w:after="60"/>
      </w:pPr>
      <w:r>
        <w:t xml:space="preserve">refined_course/05_ai_engineering/20_tools_and_agents.ipynb</w:t>
      </w:r>
    </w:p>
    <w:p>
      <w:pPr>
        <w:pStyle w:val="ListParagraph"/>
        <w:numPr>
          <w:ilvl w:val="0"/>
          <w:numId w:val="2"/>
        </w:numPr>
        <w:spacing w:after="60"/>
      </w:pPr>
      <w:r>
        <w:t xml:space="preserve">refined_course/05_ai_engineering/22_ai_evaluation_observability.ipynb</w:t>
      </w:r>
    </w:p>
    <w:p>
      <w:pPr>
        <w:spacing w:after="100"/>
      </w:pPr>
      <w:r>
        <w:t xml:space="preserve">Meanwhile there's already a refined_course/llm_providers.py shim, which the three appendix notebooks (A1–A3) import. Two patterns for the same problem.</w:t>
      </w:r>
    </w:p>
    <w:p>
      <w:pPr>
        <w:spacing w:after="100"/>
      </w:pPr>
      <w:r>
        <w:rPr>
          <w:b/>
          <w:bCs/>
        </w:rPr>
        <w:t xml:space="preserve">Why it matters:</w:t>
      </w:r>
    </w:p>
    <w:p>
      <w:pPr>
        <w:spacing w:after="100"/>
      </w:pPr>
      <w:r>
        <w:t xml:space="preserve">Any fix or improvement to MockLLM has to be applied in 5 places. The first code cell of every AI notebook becomes ~120 lines of boilerplate before the learner sees a single AI concept.</w:t>
      </w:r>
    </w:p>
    <w:p>
      <w:pPr>
        <w:pStyle w:val="ListParagraph"/>
        <w:numPr>
          <w:ilvl w:val="0"/>
          <w:numId w:val="2"/>
        </w:numPr>
        <w:spacing w:after="60"/>
      </w:pPr>
      <w:r>
        <w:t xml:space="preserve">Fix: Promote MockLLM into llm_providers.py (or a new mock_llm.py) and have every AI notebook do `from llm_providers import MockLLM`. The current llm_providers.py already has the right shape — extend it. As a bonus, this means top-level notebooks would also start using llm_providers.py, which removes the inconsistency between the two layouts.</w:t>
      </w:r>
    </w:p>
    <w:p>
      <w:pPr>
        <w:spacing w:after="100"/>
      </w:pPr>
      <w:r>
        <w:t xml:space="preserve"/>
      </w:r>
    </w:p>
    <w:p>
      <w:pPr>
        <w:pStyle w:val="Heading2"/>
      </w:pPr>
      <w:r>
        <w:t xml:space="preserve">5. Appendix notebooks ship pre-rendered outputs; main notebooks don't  [MEDIUM]</w:t>
      </w:r>
    </w:p>
    <w:p>
      <w:pPr>
        <w:spacing w:after="100"/>
      </w:pPr>
      <w:r>
        <w:t xml:space="preserve">In the audit:</w:t>
      </w:r>
    </w:p>
    <w:p>
      <w:pPr>
        <w:pStyle w:val="ListParagraph"/>
        <w:numPr>
          <w:ilvl w:val="0"/>
          <w:numId w:val="2"/>
        </w:numPr>
        <w:spacing w:after="60"/>
      </w:pPr>
      <w:r>
        <w:t xml:space="preserve">All 11 A* appendix notebooks have cells with `outputs` embedded — some have outputs in every code cell (A1_forecasting_classical: 11/11, A4_tabpfn: 5/5)</w:t>
      </w:r>
    </w:p>
    <w:p>
      <w:pPr>
        <w:pStyle w:val="ListParagraph"/>
        <w:numPr>
          <w:ilvl w:val="0"/>
          <w:numId w:val="2"/>
        </w:numPr>
        <w:spacing w:after="60"/>
      </w:pPr>
      <w:r>
        <w:t xml:space="preserve">Every main numbered notebook has zero embedded outputs — they're saved clean</w:t>
      </w:r>
    </w:p>
    <w:p>
      <w:pPr>
        <w:spacing w:after="100"/>
      </w:pPr>
      <w:r>
        <w:rPr>
          <w:b/>
          <w:bCs/>
        </w:rPr>
        <w:t xml:space="preserve">Why it matters:</w:t>
      </w:r>
    </w:p>
    <w:p>
      <w:pPr>
        <w:spacing w:after="100"/>
      </w:pPr>
      <w:r>
        <w:t xml:space="preserve">The course-wide style asks learners to “execute every code cell as you go.” Appendices that ship with outputs already filled in pull in two ways: they look like reference cards rather than interactive notebooks, and they make diff-review of changes noisy. Inconsistency is the real cost — a learner picking up an appendix has a different experience than a learner picking up a main notebook.</w:t>
      </w:r>
    </w:p>
    <w:p>
      <w:pPr>
        <w:pStyle w:val="ListParagraph"/>
        <w:numPr>
          <w:ilvl w:val="0"/>
          <w:numId w:val="2"/>
        </w:numPr>
        <w:spacing w:after="60"/>
      </w:pPr>
      <w:r>
        <w:t xml:space="preserve">Fix: Pick one policy. If outputs-on-purpose is intended for the appendices (because they need heavy GPU deps a learner won't have), document that explicitly in each appendix's first markdown cell. Otherwise, strip outputs from all notebooks before commit using `jupyter nbconvert --clear-output --inplace` and add it to a pre-commit hook.</w:t>
      </w:r>
    </w:p>
    <w:p>
      <w:pPr>
        <w:spacing w:after="100"/>
      </w:pPr>
      <w:r>
        <w:t xml:space="preserve"/>
      </w:r>
    </w:p>
    <w:p>
      <w:pPr>
        <w:pStyle w:val="Heading2"/>
      </w:pPr>
      <w:r>
        <w:t xml:space="preserve">6. 45 of 55 notebooks emit nbformat `id` warnings  [MEDIUM]</w:t>
      </w:r>
    </w:p>
    <w:p>
      <w:pPr>
        <w:spacing w:after="100"/>
      </w:pPr>
      <w:r>
        <w:t xml:space="preserve">Running any of the main notebooks under modern nbformat (≥ 5.1) prints:</w:t>
      </w:r>
    </w:p>
    <w:p>
      <w:pPr>
        <w:shd w:fill="F4F4F4" w:val="clear"/>
        <w:spacing w:after="100"/>
        <w:ind w:left="360"/>
      </w:pPr>
      <w:r>
        <w:rPr>
          <w:rFonts w:ascii="Consolas" w:cs="Consolas" w:eastAsia="Consolas" w:hAnsi="Consolas"/>
          <w:sz w:val="20"/>
          <w:szCs w:val="20"/>
        </w:rPr>
        <w:t xml:space="preserve">MissingIDFieldWarning: Cell is missing an id field, this will become a hard error in future nbformat versions.</w:t>
      </w:r>
    </w:p>
    <w:p>
      <w:pPr>
        <w:spacing w:after="100"/>
      </w:pPr>
      <w:r>
        <w:t xml:space="preserve">Of the 55 notebooks, 45 trip this warning. The 11 A* appendix notebooks are the ones that *do* have IDs everywhere — they look like they were created with a newer Jupyter.</w:t>
      </w:r>
    </w:p>
    <w:p>
      <w:pPr>
        <w:spacing w:after="100"/>
      </w:pPr>
      <w:r>
        <w:rPr>
          <w:b/>
          <w:bCs/>
        </w:rPr>
        <w:t xml:space="preserve">Why it matters:</w:t>
      </w:r>
    </w:p>
    <w:p>
      <w:pPr>
        <w:spacing w:after="100"/>
      </w:pPr>
      <w:r>
        <w:t xml:space="preserve">nbformat has signalled this becomes a hard error. When that lands, the 45 affected notebooks will refuse to open without manual repair. The warning also shows up every time anyone runs a notebook, which is a small but recurring trust-tax.</w:t>
      </w:r>
    </w:p>
    <w:p>
      <w:pPr>
        <w:pStyle w:val="ListParagraph"/>
        <w:numPr>
          <w:ilvl w:val="0"/>
          <w:numId w:val="2"/>
        </w:numPr>
        <w:spacing w:after="60"/>
      </w:pPr>
      <w:r>
        <w:t xml:space="preserve">Fix: One-time fix: `python -c "import nbformat, glob; [nbformat.write(nbformat.read(f, 4), f) for f in glob.glob('**/*.ipynb', recursive=True)]"` (with normalize=True). Then add a pre-commit hook that runs the same normalize step on staged notebooks.</w:t>
      </w:r>
    </w:p>
    <w:p>
      <w:pPr>
        <w:spacing w:after="100"/>
      </w:pPr>
      <w:r>
        <w:t xml:space="preserve"/>
      </w:r>
    </w:p>
    <w:p>
      <w:pPr>
        <w:pStyle w:val="Heading2"/>
      </w:pPr>
      <w:r>
        <w:t xml:space="preserve">7. Appendix notebooks lack pedagogical scaffolding  [MEDIUM]</w:t>
      </w:r>
    </w:p>
    <w:p>
      <w:pPr>
        <w:spacing w:after="100"/>
      </w:pPr>
      <w:r>
        <w:t xml:space="preserve">Main numbered notebooks consistently use: Exercise prompts (🧪), Solution blocks (&lt;details&gt;…&lt;/details&gt;), and Debug-me cells (🐞). The 11 A* appendix notebooks have Exercise headers in places but:</w:t>
      </w:r>
    </w:p>
    <w:p>
      <w:pPr>
        <w:pStyle w:val="ListParagraph"/>
        <w:numPr>
          <w:ilvl w:val="0"/>
          <w:numId w:val="2"/>
        </w:numPr>
        <w:spacing w:after="60"/>
      </w:pPr>
      <w:r>
        <w:t xml:space="preserve">0 / 11 appendices contain a Solution `&lt;details&gt;` block</w:t>
      </w:r>
    </w:p>
    <w:p>
      <w:pPr>
        <w:pStyle w:val="ListParagraph"/>
        <w:numPr>
          <w:ilvl w:val="0"/>
          <w:numId w:val="2"/>
        </w:numPr>
        <w:spacing w:after="60"/>
      </w:pPr>
      <w:r>
        <w:t xml:space="preserve">0 / 11 contain a 🐞 Debug-me cell</w:t>
      </w:r>
    </w:p>
    <w:p>
      <w:pPr>
        <w:pStyle w:val="ListParagraph"/>
        <w:numPr>
          <w:ilvl w:val="0"/>
          <w:numId w:val="2"/>
        </w:numPr>
        <w:spacing w:after="60"/>
      </w:pPr>
      <w:r>
        <w:t xml:space="preserve">0 / 11 contain the `&lt;details&gt;&lt;summary&gt;` reveal pattern that the main course teaches learners to expect</w:t>
      </w:r>
    </w:p>
    <w:p>
      <w:pPr>
        <w:spacing w:after="100"/>
      </w:pPr>
      <w:r>
        <w:rPr>
          <w:b/>
          <w:bCs/>
        </w:rPr>
        <w:t xml:space="preserve">Why it matters:</w:t>
      </w:r>
    </w:p>
    <w:p>
      <w:pPr>
        <w:spacing w:after="100"/>
      </w:pPr>
      <w:r>
        <w:t xml:space="preserve">The onboarding section 8 (“What makes these notebooks different”) advertises this marker system as a defining feature. Appendices that don't use it feel like a different product. They also miss the “struggle for 5 minutes before peeking” loop that the rest of the course is built around.</w:t>
      </w:r>
    </w:p>
    <w:p>
      <w:pPr>
        <w:pStyle w:val="ListParagraph"/>
        <w:numPr>
          <w:ilvl w:val="0"/>
          <w:numId w:val="2"/>
        </w:numPr>
        <w:spacing w:after="60"/>
      </w:pPr>
      <w:r>
        <w:t xml:space="preserve">Fix: Either (a) add Solution blocks and at least one Debug-me cell per appendix to bring them up to the course standard, or (b) explicitly position them in the README as 'reference notebooks' rather than 'exercise notebooks' and remove the Exercise headers that promise interactivity.</w:t>
      </w:r>
    </w:p>
    <w:p>
      <w:pPr>
        <w:spacing w:after="100"/>
      </w:pPr>
      <w:r>
        <w:t xml:space="preserve"/>
      </w:r>
    </w:p>
    <w:p>
      <w:pPr>
        <w:pStyle w:val="Heading2"/>
      </w:pPr>
      <w:r>
        <w:t xml:space="preserve">8. Several code cells are very large  [LOW]</w:t>
      </w:r>
    </w:p>
    <w:p>
      <w:pPr>
        <w:spacing w:after="100"/>
      </w:pPr>
      <w:r>
        <w:t xml:space="preserve">Top offenders (characters / approx. lines):</w:t>
      </w:r>
    </w:p>
    <w:p>
      <w:pPr>
        <w:pStyle w:val="ListParagraph"/>
        <w:numPr>
          <w:ilvl w:val="0"/>
          <w:numId w:val="2"/>
        </w:numPr>
        <w:spacing w:after="60"/>
      </w:pPr>
      <w:r>
        <w:t xml:space="preserve">18_ai_workflows.ipynb cell 3 — 4974 chars / ~120 lines (MockLLM definition, see #4)</w:t>
      </w:r>
    </w:p>
    <w:p>
      <w:pPr>
        <w:pStyle w:val="ListParagraph"/>
        <w:numPr>
          <w:ilvl w:val="0"/>
          <w:numId w:val="2"/>
        </w:numPr>
        <w:spacing w:after="60"/>
      </w:pPr>
      <w:r>
        <w:t xml:space="preserve">11_ai_assisted_workflows.ipynb cell 3 — 4974 chars / ~120 lines (same)</w:t>
      </w:r>
    </w:p>
    <w:p>
      <w:pPr>
        <w:pStyle w:val="ListParagraph"/>
        <w:numPr>
          <w:ilvl w:val="0"/>
          <w:numId w:val="2"/>
        </w:numPr>
        <w:spacing w:after="60"/>
      </w:pPr>
      <w:r>
        <w:t xml:space="preserve">16_tools_and_agents / 20_tools_and_agents cells 3 and 6 — 3475 + 3455 chars each</w:t>
      </w:r>
    </w:p>
    <w:p>
      <w:pPr>
        <w:pStyle w:val="ListParagraph"/>
        <w:numPr>
          <w:ilvl w:val="0"/>
          <w:numId w:val="2"/>
        </w:numPr>
        <w:spacing w:after="60"/>
      </w:pPr>
      <w:r>
        <w:t xml:space="preserve">16_model_evaluation, 22_ai_evaluation_observability, 27_capstone_ai_assistant, 10_capstone_project, 15_sklearn_basics each have one 2.0k+ char cell</w:t>
      </w:r>
    </w:p>
    <w:p>
      <w:pPr>
        <w:spacing w:after="100"/>
      </w:pPr>
      <w:r>
        <w:rPr>
          <w:b/>
          <w:bCs/>
        </w:rPr>
        <w:t xml:space="preserve">Why it matters:</w:t>
      </w:r>
    </w:p>
    <w:p>
      <w:pPr>
        <w:spacing w:after="100"/>
      </w:pPr>
      <w:r>
        <w:t xml:space="preserve">Long cells are hard to read on a laptop screen, hard to scroll past when re-running, and they bundle multiple ideas the markdown should be stepping through one at a time. The MockLLM case (#4) accounts for the two largest cells; the rest are cases where a single cell defines a class plus several helpers plus a usage demo.</w:t>
      </w:r>
    </w:p>
    <w:p>
      <w:pPr>
        <w:pStyle w:val="ListParagraph"/>
        <w:numPr>
          <w:ilvl w:val="0"/>
          <w:numId w:val="2"/>
        </w:numPr>
        <w:spacing w:after="60"/>
      </w:pPr>
      <w:r>
        <w:t xml:space="preserve">Fix: As a rule of thumb, target ≤ 30 lines per code cell. For the tools/agents cells, split: cell A defines the tool, cell B shows one call, cell C composes calls. The narrative markdown will improve as a side-effect.</w:t>
      </w:r>
    </w:p>
    <w:p>
      <w:pPr>
        <w:spacing w:after="100"/>
      </w:pPr>
      <w:r>
        <w:t xml:space="preserve"/>
      </w:r>
    </w:p>
    <w:p>
      <w:pPr>
        <w:pStyle w:val="Heading2"/>
      </w:pPr>
      <w:r>
        <w:t xml:space="preserve">9. data/ folder is duplicated identically  [LOW]</w:t>
      </w:r>
    </w:p>
    <w:p>
      <w:pPr>
        <w:spacing w:after="100"/>
      </w:pPr>
      <w:r>
        <w:t xml:space="preserve">Both data/ and refined_course/data/ contain the same three CSVs (api_log.csv, customer_feedback.csv, support_ops.csv). `cmp` confirms they're byte-identical. Same problem for slides/ — separate PDFs are built for each layout.</w:t>
      </w:r>
    </w:p>
    <w:p>
      <w:pPr>
        <w:pStyle w:val="ListParagraph"/>
        <w:numPr>
          <w:ilvl w:val="0"/>
          <w:numId w:val="2"/>
        </w:numPr>
        <w:spacing w:after="60"/>
      </w:pPr>
      <w:r>
        <w:t xml:space="preserve">Fix: Once #1 is resolved (single canonical layout), delete the duplicate data/ and slides/ folders. In the interim, replace one with a symlink to the other so updates only happen in one place.</w:t>
      </w:r>
    </w:p>
    <w:p>
      <w:pPr>
        <w:spacing w:after="100"/>
      </w:pPr>
      <w:r>
        <w:t xml:space="preserve"/>
      </w:r>
    </w:p>
    <w:p>
      <w:pPr>
        <w:pStyle w:val="Heading2"/>
      </w:pPr>
      <w:r>
        <w:t xml:space="preserve">10. Intentional 🐞 Debug-me cells look like broken code on Run-All  [LOW]</w:t>
      </w:r>
    </w:p>
    <w:p>
      <w:pPr>
        <w:spacing w:after="100"/>
      </w:pPr>
      <w:r>
        <w:t xml:space="preserve">Every 🐞 cell, when executed, produces a real traceback. The previous markdown cell explains the intent (“three bugs, fix them”), but a learner who clicks Cell → Run All sees a notebook full of green checkmarks plus one traceback. Without scrolling up, that reads as 'this notebook is broken.'</w:t>
      </w:r>
    </w:p>
    <w:p>
      <w:pPr>
        <w:pStyle w:val="ListParagraph"/>
        <w:numPr>
          <w:ilvl w:val="0"/>
          <w:numId w:val="2"/>
        </w:numPr>
        <w:spacing w:after="60"/>
      </w:pPr>
      <w:r>
        <w:t xml:space="preserve">Fix: Either (a) wrap the Debug-me code in a function that's defined-but-not-called by default, so Run-All is clean — and ask the learner to call it; or (b) put a visible banner *inside* the buggy cell, e.g. an opening comment line: `# ⚠️ This cell INTENTIONALLY errors. See the markdown above.`</w:t>
      </w:r>
    </w:p>
    <w:p>
      <w:pPr>
        <w:spacing w:after="100"/>
      </w:pPr>
      <w:r>
        <w:t xml:space="preserve"/>
      </w:r>
    </w:p>
    <w:p>
      <w:pPr>
        <w:pStyle w:val="Heading2"/>
      </w:pPr>
      <w:r>
        <w:t xml:space="preserve">11. No automated test catches drift  [LOW]</w:t>
      </w:r>
    </w:p>
    <w:p>
      <w:pPr>
        <w:spacing w:after="100"/>
      </w:pPr>
      <w:r>
        <w:t xml:space="preserve">There is no CI configuration in the repo, no pytest setup that runs the notebooks, and no link-checker for the README cross-references. Every drift problem catalogued here (README ≠ filesystem, missing IDs, etc.) would have been caught by a 30-line GitHub Actions workflow.</w:t>
      </w:r>
    </w:p>
    <w:p>
      <w:pPr>
        <w:pStyle w:val="ListParagraph"/>
        <w:numPr>
          <w:ilvl w:val="0"/>
          <w:numId w:val="2"/>
        </w:numPr>
        <w:spacing w:after="60"/>
      </w:pPr>
      <w:r>
        <w:t xml:space="preserve">Fix: Add a .github/workflows/notebooks.yml that runs:  jupyter nbconvert --to notebook --execute "**/*.ipynb"  on PRs touching .ipynb files, plus a tiny Python script that walks every markdown file and asserts every "NB X" reference resolves to a real file. Pin a single requirements.txt so the CI environment is reproducible.</w:t>
      </w:r>
    </w:p>
    <w:p>
      <w:pPr>
        <w:spacing w:after="100"/>
      </w:pPr>
      <w:r>
        <w:t xml:space="preserve"/>
      </w:r>
    </w:p>
    <w:p>
      <w:pPr>
        <w:pStyle w:val="Heading2"/>
      </w:pPr>
      <w:r>
        <w:t xml:space="preserve">Suggested order of attack</w:t>
      </w:r>
    </w:p>
    <w:p>
      <w:pPr>
        <w:spacing w:after="100"/>
      </w:pPr>
      <w:r>
        <w:t xml:space="preserve">If you want a high-leverage sequence:</w:t>
      </w:r>
    </w:p>
    <w:p>
      <w:pPr>
        <w:pStyle w:val="ListParagraph"/>
        <w:numPr>
          <w:ilvl w:val="0"/>
          <w:numId w:val="2"/>
        </w:numPr>
        <w:spacing w:after="60"/>
      </w:pPr>
      <w:r>
        <w:rPr>
          <w:b/>
          <w:bCs/>
        </w:rPr>
        <w:t xml:space="preserve">Day 1 (~2h):</w:t>
      </w:r>
      <w:r>
        <w:t xml:space="preserve"> Run nbformat normalize across the whole repo (#6) and add the pre-commit hook. Strip outputs from appendices or document the policy (#5). Wrap the Debug-me cells with the banner comment (#10).</w:t>
      </w:r>
    </w:p>
    <w:p>
      <w:pPr>
        <w:pStyle w:val="ListParagraph"/>
        <w:numPr>
          <w:ilvl w:val="0"/>
          <w:numId w:val="2"/>
        </w:numPr>
        <w:spacing w:after="60"/>
      </w:pPr>
      <w:r>
        <w:rPr>
          <w:b/>
          <w:bCs/>
        </w:rPr>
        <w:t xml:space="preserve">Day 2 (~4h):</w:t>
      </w:r>
      <w:r>
        <w:t xml:space="preserve"> Promote MockLLM into llm_providers.py and update the five notebooks that inline it (#4). Split the longest cells while you're already touching those files (#8).</w:t>
      </w:r>
    </w:p>
    <w:p>
      <w:pPr>
        <w:pStyle w:val="ListParagraph"/>
        <w:numPr>
          <w:ilvl w:val="0"/>
          <w:numId w:val="2"/>
        </w:numPr>
        <w:spacing w:after="60"/>
      </w:pPr>
      <w:r>
        <w:rPr>
          <w:b/>
          <w:bCs/>
        </w:rPr>
        <w:t xml:space="preserve">Day 3 (~3h):</w:t>
      </w:r>
      <w:r>
        <w:t xml:space="preserve"> Decide on the canonical layout and stop shipping the duplicate (#1, #9). Update the README to match what actually ships (#2, #3) — fix the “26 notebooks” claim, fix the NB 6 / 25 references, choose dense vs sparse numbering.</w:t>
      </w:r>
    </w:p>
    <w:p>
      <w:pPr>
        <w:pStyle w:val="ListParagraph"/>
        <w:numPr>
          <w:ilvl w:val="0"/>
          <w:numId w:val="2"/>
        </w:numPr>
        <w:spacing w:after="60"/>
      </w:pPr>
      <w:r>
        <w:rPr>
          <w:b/>
          <w:bCs/>
        </w:rPr>
        <w:t xml:space="preserve">Day 4 (~2h):</w:t>
      </w:r>
      <w:r>
        <w:t xml:space="preserve"> Bring appendices up to the main-course scaffolding standard, or relabel them as reference (#7). Add the CI workflow (#11).</w:t>
      </w:r>
    </w:p>
    <w:p>
      <w:pPr>
        <w:spacing w:after="100"/>
      </w:pPr>
      <w:r>
        <w:t xml:space="preserve">Roughly a week of focused work to take the course from runs-cleanly to ships-cleanly.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Refinement Review · </w:t>
    </w:r>
    <w:r>
      <w:fldChar w:fldCharType="begin"/>
      <w:instrText xml:space="preserve">PAGE</w:instrText>
      <w:fldChar w:fldCharType="separate"/>
      <w:fldChar w:fldCharType="end"/>
    </w:r>
    <w:r>
      <w:t xml:space="preserve"> /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F3864"/>
      <w:sz w:val="34"/>
      <w:szCs w:val="34"/>
    </w:rPr>
  </w:style>
  <w:style w:type="paragraph" w:styleId="Heading2">
    <w:name w:val="Heading 2"/>
    <w:basedOn w:val="Normal"/>
    <w:next w:val="Normal"/>
    <w:qFormat/>
    <w:pPr>
      <w:spacing w:after="10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2026-05-27T06:27:23.251Z</dcterms:created>
  <dcterms:modified xsi:type="dcterms:W3CDTF">2026-05-27T06:27:23.253Z</dcterms:modified>
</cp:coreProperties>
</file>

<file path=docProps/custom.xml><?xml version="1.0" encoding="utf-8"?>
<Properties xmlns="http://schemas.openxmlformats.org/officeDocument/2006/custom-properties" xmlns:vt="http://schemas.openxmlformats.org/officeDocument/2006/docPropsVTypes"/>
</file>