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Bestimmungsgemäße Verwendung</w:t>
      </w:r>
      <w:bookmarkEnd w:id="10001"/>
    </w:p>
    <w:p>
      <w:pPr>
        <w:pStyle w:val="Flie_text"/>
        <w:rPr/>
      </w:pPr>
      <w:bookmarkStart w:id="10002" w:name="ID0EQF"/>
      <w:r>
        <w:rPr/>
        <w:t xml:space="preserve">Nutzen Sie das Gerät nur für die bestimmungsgemäße Verwendung und unter Beachtung der Sicherheitsvorkehrungen, welche in der Bedienungsanleitung beschrieben sind, um Gefährdungen für Personen und Schäden an Gegenständen zu vermeiden.</w:t>
      </w:r>
      <w:bookmarkEnd w:id="10002"/>
    </w:p>
    <w:p>
      <w:pPr>
        <w:pStyle w:val="Flie_text"/>
        <w:rPr/>
      </w:pPr>
      <w:bookmarkStart w:id="10003" w:name="ID0ETG"/>
      <w:r>
        <w:rPr/>
        <w:t xml:space="preserve">Die bestimmungsgemäße Verwendung umfasst:</w:t>
      </w:r>
      <w:bookmarkEnd w:id="10003"/>
    </w:p>
    <w:p>
      <w:pPr>
        <w:pStyle w:val="Liste"/>
        <w:numPr>
          <w:ilvl w:val="0"/>
          <w:numId w:val="15"/>
        </w:numPr>
        <w:rPr/>
      </w:pPr>
      <w:bookmarkStart w:id="10004" w:name="ID0EHH"/>
      <w:r>
        <w:rPr/>
        <w:t xml:space="preserve">Belüften von Privat- und Büroräumen oder -raumabschnitten.</w:t>
      </w:r>
      <w:bookmarkEnd w:id="10004"/>
    </w:p>
    <w:p>
      <w:pPr>
        <w:pStyle w:val="Liste"/>
        <w:numPr>
          <w:ilvl w:val="0"/>
          <w:numId w:val="16"/>
        </w:numPr>
        <w:rPr/>
      </w:pPr>
      <w:bookmarkStart w:id="10005" w:name="ID0E5H"/>
      <w:r>
        <w:rPr/>
        <w:t xml:space="preserve">Aufheizen von Privat- und Büroräumen oder -raumabschnitten.</w:t>
      </w:r>
      <w:bookmarkEnd w:id="10005"/>
    </w:p>
    <w:p>
      <w:pPr>
        <w:pStyle w:val="Liste"/>
        <w:numPr>
          <w:ilvl w:val="0"/>
          <w:numId w:val="17"/>
        </w:numPr>
        <w:rPr/>
      </w:pPr>
      <w:bookmarkStart w:id="10006" w:name="ID0EKCAC"/>
      <w:r>
        <w:rPr/>
        <w:t xml:space="preserve">Das Gerät darf nur bei Temperaturen zwischen -10°C und +40°C betrieben werden.</w:t>
      </w:r>
      <w:bookmarkEnd w:id="10006"/>
    </w:p>
    <w:p>
      <w:pPr>
        <w:pStyle w:val="Liste"/>
        <w:numPr>
          <w:ilvl w:val="0"/>
          <w:numId w:val="17"/>
        </w:numPr>
        <w:rPr/>
      </w:pPr>
      <w:bookmarkStart w:id="10007" w:name="ID0EYCAC"/>
      <w:r>
        <w:rPr/>
        <w:t xml:space="preserve">Das Gerät darf nur bei Temperaturen zwischen +5°C und +40°C gelagert werden.</w:t>
      </w:r>
      <w:bookmarkEnd w:id="10007"/>
    </w:p>
    <w:p>
      <w:pPr>
        <w:pStyle w:val="Liste"/>
        <w:numPr>
          <w:ilvl w:val="0"/>
          <w:numId w:val="17"/>
        </w:numPr>
        <w:rPr/>
      </w:pPr>
      <w:bookmarkStart w:id="10008" w:name="ID0ERDAC"/>
      <w:r>
        <w:rPr/>
        <w:t xml:space="preserve">Für den Transport innerhalb von Räumen muss die Tragevorrichtung am Gerät verwendet werden.</w:t>
      </w:r>
      <w:bookmarkEnd w:id="10008"/>
    </w:p>
    <w:p>
      <w:pPr>
        <w:pStyle w:val="Liste"/>
        <w:numPr>
          <w:ilvl w:val="0"/>
          <w:numId w:val="17"/>
        </w:numPr>
        <w:rPr/>
      </w:pPr>
      <w:bookmarkStart w:id="10009" w:name="ID0EIEAC"/>
      <w:r>
        <w:rPr/>
        <w:t xml:space="preserve">Während des Betriebs muss das Gerät auf seinem Standfuß stehen.</w:t>
      </w:r>
      <w:bookmarkEnd w:id="10009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2016-11-06T17:19:35Z</dcterms:created>
  <dcterms:modified xmlns:dcterms="http://purl.org/dc/terms/" xmlns:xsi="http://www.w3.org/2001/XMLSchema-instance" xsi:type="dcterms:W3CDTF">2016-11-06T17:19:35Z</dcterms:modified>
</cp:coreProperties>
</file>