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Schwenkfunktion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3648463"/>
            <wp:effectExtent l="0" t="0" r="6985" b="7620"/>
            <wp:wrapTopAndBottom/>
            <wp:docPr id="100000000" name="Bedienteil_m_Heizung_5_4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Heizung_5_4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364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004" w:name="ID0E6SAE"/>
      <w:r>
        <w:rPr/>
        <w:t xml:space="preserve">Die Schwenkfunktion ist nun eingeschaltet und die Taste 1 bleibt gedrückt.</w:t>
      </w:r>
      <w:bookmarkEnd w:id="10004"/>
    </w:p>
    <w:p>
      <w:pPr>
        <w:pStyle w:val="Resultat"/>
        <w:rPr/>
      </w:pPr>
      <w:bookmarkStart w:id="10005" w:name="ID0ERTAE"/>
      <w:r>
        <w:rPr/>
        <w:t xml:space="preserve">Die grüne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006" w:name="ID0ESUAE"/>
      <w:r>
        <w:rPr/>
        <w:t xml:space="preserve">Die Schwenkfunktion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EVAE"/>
      <w:r>
        <w:rPr/>
        <w:t xml:space="preserve">Die grüne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m_Heizung_5_4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2016-08-13T21:22:29Z</dcterms:created>
  <dcterms:modified xmlns:dcterms="http://purl.org/dc/terms/" xmlns:xsi="http://www.w3.org/2001/XMLSchema-instance" xsi:type="dcterms:W3CDTF">2016-08-13T21:22:29Z</dcterms:modified>
</cp:coreProperties>
</file>