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001" w:name="ID0EPJAE"/>
      <w:r>
        <w:rPr/>
        <w:t xml:space="preserve">Heizung funktioniert nicht.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OKAE"/>
      <w:r>
        <w:rPr/>
        <w:t xml:space="preserve">Das Heizelement ist defekt.</w:t>
      </w:r>
      <w:bookmarkEnd w:id="10002"/>
    </w:p>
    <w:p>
      <w:pPr>
        <w:pStyle w:val="Resultat"/>
        <w:rPr/>
      </w:pPr>
      <w:bookmarkStart w:id="10003" w:name="ID0EYMAE"/>
      <w:r>
        <w:rPr/>
        <w:t xml:space="preserve">Lassen Sie das Heizelement tauschen.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