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PDA"/>
            <w:r>
              <w:rPr/>
              <w:t xml:space="preserve">T5-B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PDA"/>
            <w:r>
              <w:rPr/>
              <w:t xml:space="preserve">121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P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P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P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PDA"/>
            <w:r>
              <w:rPr/>
              <w:t xml:space="preserve">2.2999999999999998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P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PDA"/>
            <w:r>
              <w:rPr/>
              <w:t xml:space="preserve">43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PDA"/>
            <w:r>
              <w:rPr/>
              <w:t xml:space="preserve">500-3400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PDA"/>
            <w:r>
              <w:rPr/>
              <w:t xml:space="preserve">5 Stufen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P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P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P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Montage</w:t>
      </w:r>
      <w:bookmarkEnd w:id="10075"/>
    </w:p>
    <w:p>
      <w:pPr>
        <w:pStyle w:val="berschrift2"/>
        <w:rPr/>
      </w:pPr>
      <w:bookmarkStart w:id="10076" w:name="ID0EF"/>
      <w:r>
        <w:rPr/>
        <w:t xml:space="preserve">Rotor montieren</w:t>
      </w:r>
      <w:bookmarkEnd w:id="10076"/>
    </w:p>
    <w:p>
      <w:pPr>
        <w:pStyle w:val="berschrift3"/>
        <w:rPr/>
      </w:pPr>
      <w:bookmarkStart w:id="10077" w:name="ID0ECG"/>
      <w:r>
        <w:rPr/>
        <w:t xml:space="preserve">Sicherheitshinweise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78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7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1" w:name="ID0EUBAE"/>
      <w:r>
        <w:rPr/>
        <w:t xml:space="preserve">Die Schutzgitterrückseite ist nun montiert.</w:t>
      </w:r>
      <w:bookmarkEnd w:id="10081"/>
    </w:p>
    <w:p>
      <w:pPr>
        <w:pStyle w:val="Beschriftung"/>
        <w:rPr/>
      </w:pPr>
      <w:bookmarkStart w:id="10082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5" w:name="ID0EIJAE"/>
      <w:r>
        <w:rPr/>
        <w:t xml:space="preserve">Der Rotor ist nun montiert.</w:t>
      </w:r>
      <w:bookmarkEnd w:id="10085"/>
    </w:p>
    <w:p>
      <w:pPr>
        <w:pStyle w:val="Beschriftung"/>
        <w:rPr/>
      </w:pPr>
      <w:bookmarkStart w:id="10086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89" w:name="ID0EASAE"/>
      <w:r>
        <w:rPr/>
        <w:t xml:space="preserve">Die Schutzgitter-Vorderseite ist nun montiert.</w:t>
      </w:r>
      <w:bookmarkEnd w:id="10089"/>
    </w:p>
    <w:p>
      <w:pPr>
        <w:pStyle w:val="Beschriftung"/>
        <w:rPr/>
      </w:pPr>
      <w:bookmarkStart w:id="10090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3" w:name="ID0E5XAE"/>
      <w:r>
        <w:rPr/>
        <w:t xml:space="preserve">Sie haben den Rotor und das Schutzgitter nun fertig montiert.</w:t>
      </w:r>
      <w:bookmarkEnd w:id="10093"/>
    </w:p>
    <w:p>
      <w:pPr>
        <w:pStyle w:val="berschrift1"/>
        <w:rPr/>
      </w:pPr>
      <w:bookmarkStart w:id="10094" w:name="ID0EF"/>
      <w:r>
        <w:rPr/>
        <w:t xml:space="preserve">Wartung</w:t>
      </w:r>
      <w:bookmarkEnd w:id="10094"/>
    </w:p>
    <w:p>
      <w:pPr>
        <w:pStyle w:val="berschrift2"/>
        <w:rPr/>
      </w:pPr>
      <w:bookmarkStart w:id="10095" w:name="ID0EF"/>
      <w:r>
        <w:rPr/>
        <w:t xml:space="preserve">Rotor reinigen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FG"/>
      <w:r>
        <w:rPr/>
        <w:t xml:space="preserve">Sollten die Flügelräder des Rotors verschmutzt sein, können Sie sie wie folgt reinigen.</w:t>
      </w:r>
      <w:bookmarkEnd w:id="10096"/>
    </w:p>
    <w:p>
      <w:pPr>
        <w:pStyle w:val="Liste"/>
        <w:numPr>
          <w:ilvl w:val="0"/>
          <w:numId w:val="24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97" w:name="ID0EPBAC"/>
      <w:r>
        <w:rPr/>
        <w:t xml:space="preserve">Der Rotor ist nun gereinigt und das Gerät ist wieder betriebsbereit.</w:t>
      </w:r>
      <w:bookmarkEnd w:id="10097"/>
    </w:p>
    <w:p>
      <w:pPr>
        <w:pStyle w:val="berschrift1"/>
        <w:rPr/>
      </w:pPr>
      <w:bookmarkStart w:id="10098" w:name="ID0EF"/>
      <w:r>
        <w:rPr/>
        <w:t xml:space="preserve">Fehlerbehebung</w:t>
      </w:r>
      <w:bookmarkEnd w:id="10098"/>
    </w:p>
    <w:p>
      <w:pPr>
        <w:pStyle w:val="berschrift2"/>
        <w:rPr/>
      </w:pPr>
      <w:bookmarkStart w:id="10099" w:name="ID0EF"/>
      <w:r>
        <w:rPr/>
        <w:t xml:space="preserve">Manuelle Fehlerbehebung</w:t>
      </w:r>
      <w:bookmarkEnd w:id="10099"/>
    </w:p>
    <w:p>
      <w:pPr>
        <w:pStyle w:val="Standard"/>
        <w:rPr/>
      </w:pPr>
      <w:bookmarkStart w:id="10100" w:name="ID0EQBAC"/>
      <w:r>
        <w:rPr/>
        <w:t xml:space="preserve">Im Folgenden sind häufige Probleme mit möglichen Ursachen und den durchzuführenden Maßnahmen aufgelistet.</w:t>
      </w:r>
      <w:bookmarkEnd w:id="1010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01" w:name="ID0E3LAC"/>
      <w:r>
        <w:rPr/>
        <w:t xml:space="preserve">Der Rotor dreht sich nicht, obwohl das Gerät eingeschaltet ist.</w:t>
      </w:r>
      <w:bookmarkEnd w:id="10101"/>
    </w:p>
    <w:p>
      <w:pPr>
        <w:pStyle w:val="Liste"/>
        <w:numPr>
          <w:ilvl w:val="0"/>
          <w:numId w:val="18"/>
        </w:numPr>
        <w:rPr/>
      </w:pPr>
      <w:bookmarkStart w:id="10102" w:name="ID0E1MAC"/>
      <w:r>
        <w:rPr/>
        <w:t xml:space="preserve">Das Getriebe ist beschädigt.</w:t>
      </w:r>
      <w:bookmarkEnd w:id="10102"/>
    </w:p>
    <w:p>
      <w:pPr>
        <w:pStyle w:val="Resultat"/>
        <w:rPr/>
      </w:pPr>
      <w:bookmarkStart w:id="10103" w:name="ID0EFPAC"/>
      <w:r>
        <w:rPr/>
        <w:t xml:space="preserve">Lassen Sie das Getriebe tauschen</w:t>
      </w:r>
      <w:bookmarkEnd w:id="1010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04" w:name="ID0EUGAC"/>
      <w:r>
        <w:rPr/>
        <w:t xml:space="preserve">Das Gerät lässt sich nicht einschalten.</w:t>
      </w:r>
      <w:bookmarkEnd w:id="10104"/>
    </w:p>
    <w:p>
      <w:pPr>
        <w:pStyle w:val="Liste"/>
        <w:numPr>
          <w:ilvl w:val="0"/>
          <w:numId w:val="19"/>
        </w:numPr>
        <w:rPr/>
      </w:pPr>
      <w:bookmarkStart w:id="10105" w:name="ID0ETHAC"/>
      <w:r>
        <w:rPr/>
        <w:t xml:space="preserve">Der Netzstecker nicht vollständig in die Steckdose gesteckt.</w:t>
      </w:r>
      <w:bookmarkEnd w:id="10105"/>
    </w:p>
    <w:p>
      <w:pPr>
        <w:pStyle w:val="Liste"/>
        <w:numPr>
          <w:ilvl w:val="0"/>
          <w:numId w:val="19"/>
        </w:numPr>
        <w:rPr/>
      </w:pPr>
      <w:bookmarkStart w:id="10106" w:name="ID0EEIAC"/>
      <w:r>
        <w:rPr/>
        <w:t xml:space="preserve">Die Steckdosenleiste nicht eingeschaltet oder nicht an Steckdose eingesteckt.</w:t>
      </w:r>
      <w:bookmarkEnd w:id="10106"/>
    </w:p>
    <w:p>
      <w:pPr>
        <w:pStyle w:val="Liste"/>
        <w:numPr>
          <w:ilvl w:val="0"/>
          <w:numId w:val="19"/>
        </w:numPr>
        <w:rPr/>
      </w:pPr>
      <w:bookmarkStart w:id="10107" w:name="ID0EVIAC"/>
      <w:r>
        <w:rPr/>
        <w:t xml:space="preserve">Die Steckdose ist defekt</w:t>
      </w:r>
      <w:bookmarkEnd w:id="10107"/>
    </w:p>
    <w:p>
      <w:pPr>
        <w:pStyle w:val="Resultat"/>
        <w:rPr/>
      </w:pPr>
      <w:bookmarkStart w:id="10108" w:name="ID0EEKAC"/>
      <w:r>
        <w:rPr/>
        <w:t xml:space="preserve">Siehe Kapitel 7.3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Stromzufuhr prüfen</w:t>
      </w:r>
      <w:bookmarkEnd w:id="10109"/>
    </w:p>
    <w:p>
      <w:pPr>
        <w:pStyle w:val="Liste"/>
        <w:numPr>
          <w:ilvl w:val="0"/>
          <w:numId w:val="32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10" w:name="ID0EF"/>
      <w:r>
        <w:rPr/>
        <w:t xml:space="preserve">Schwenkbereich freiräumen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4G"/>
      <w:r>
        <w:rPr/>
        <w:t xml:space="preserve">Führen Sie im Falle einer Störung der Schwenkfunktion bitte folgende Schritte aus:</w:t>
      </w:r>
      <w:bookmarkEnd w:id="10112"/>
    </w:p>
    <w:p>
      <w:pPr>
        <w:pStyle w:val="Liste"/>
        <w:numPr>
          <w:ilvl w:val="0"/>
          <w:numId w:val="3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13" w:name="ID0EF"/>
      <w:r>
        <w:rPr/>
        <w:t xml:space="preserve">Entsorgung</w:t>
      </w:r>
      <w:bookmarkEnd w:id="10113"/>
    </w:p>
    <w:p>
      <w:pPr>
        <w:pStyle w:val="Flie_text"/>
        <w:rPr/>
      </w:pPr>
      <w:bookmarkStart w:id="10114" w:name="ID0EAG"/>
      <w:r>
        <w:rPr/>
        <w:t xml:space="preserve">Das Gerät unterliegt den Entsorgungsbestimmungen für Elektrogeräte. Für die Entsorgung des Geräts stehen Ihnen zwei Optionen zur Verfügung:</w:t>
      </w:r>
      <w:bookmarkEnd w:id="10114"/>
    </w:p>
    <w:p>
      <w:pPr>
        <w:pStyle w:val="berschrift3"/>
        <w:rPr/>
      </w:pPr>
      <w:bookmarkStart w:id="10115" w:name="ID0EQG"/>
      <w:r>
        <w:rPr/>
        <w:t xml:space="preserve">Option 1</w:t>
      </w:r>
      <w:bookmarkEnd w:id="10115"/>
    </w:p>
    <w:p>
      <w:pPr>
        <w:pStyle w:val="Flie_text"/>
        <w:rPr/>
      </w:pPr>
      <w:bookmarkStart w:id="10116" w:name="ID0E2G"/>
      <w:r>
        <w:rPr/>
        <w:t xml:space="preserve">Entsorgen Sie die Bestandteile des Geräts selbst in den dafür vorgesehenen Behältern.</w:t>
      </w:r>
      <w:bookmarkEnd w:id="10116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17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17"/>
          </w:p>
        </w:tc>
        <w:tc>
          <w:tcPr/>
          <w:p>
            <w:pPr>
              <w:pStyle w:val="Tabellen_berschrift"/>
              <w:rPr/>
            </w:pPr>
            <w:bookmarkStart w:id="10118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19" w:name="ID0EXBAC"/>
            <w:r>
              <w:rPr/>
              <w:t xml:space="preserve">Metallteile</w:t>
            </w:r>
            <w:bookmarkEnd w:id="10119"/>
          </w:p>
        </w:tc>
        <w:tc>
          <w:tcPr/>
          <w:p>
            <w:pPr>
              <w:pStyle w:val="Tabellentext"/>
              <w:rPr/>
            </w:pPr>
            <w:bookmarkStart w:id="10120" w:name="ID0EHCAC"/>
            <w:r>
              <w:rPr/>
              <w:t xml:space="preserve">Sondermüll</w:t>
            </w:r>
            <w:bookmarkEnd w:id="101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1" w:name="ID0E3CAC"/>
            <w:r>
              <w:rPr/>
              <w:t xml:space="preserve">Kunststoffteile</w:t>
            </w:r>
            <w:bookmarkEnd w:id="10121"/>
          </w:p>
        </w:tc>
        <w:tc>
          <w:tcPr/>
          <w:p>
            <w:pPr>
              <w:pStyle w:val="Tabellentext"/>
              <w:rPr/>
            </w:pPr>
            <w:bookmarkStart w:id="10122" w:name="ID0EMDAC"/>
            <w:r>
              <w:rPr/>
              <w:t xml:space="preserve">Recyclingbehälter</w:t>
            </w:r>
            <w:bookmarkEnd w:id="1012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3" w:name="ID0EBEAC"/>
            <w:r>
              <w:rPr/>
              <w:t xml:space="preserve">Folieverpackung</w:t>
            </w:r>
            <w:bookmarkEnd w:id="10123"/>
          </w:p>
        </w:tc>
        <w:tc>
          <w:tcPr/>
          <w:p>
            <w:pPr>
              <w:pStyle w:val="Tabellentext"/>
              <w:rPr/>
            </w:pPr>
            <w:bookmarkStart w:id="10124" w:name="ID0EREAC"/>
            <w:r>
              <w:rPr/>
              <w:t xml:space="preserve">Recyclingbehälter</w:t>
            </w:r>
            <w:bookmarkEnd w:id="1012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25" w:name="ID0EGFAC"/>
            <w:r>
              <w:rPr/>
              <w:t xml:space="preserve">Kartonverpackung</w:t>
            </w:r>
            <w:bookmarkEnd w:id="10125"/>
          </w:p>
        </w:tc>
        <w:tc>
          <w:tcPr/>
          <w:p>
            <w:pPr>
              <w:pStyle w:val="Tabellentext"/>
              <w:rPr/>
            </w:pPr>
            <w:bookmarkStart w:id="10126" w:name="ID0EWFAC"/>
            <w:r>
              <w:rPr/>
              <w:t xml:space="preserve">Papier-Mülltonne</w:t>
            </w:r>
            <w:bookmarkEnd w:id="10126"/>
          </w:p>
        </w:tc>
      </w:tr>
    </w:tbl>
    <w:p>
      <w:pPr>
        <w:pStyle w:val="berschrift3"/>
        <w:rPr/>
      </w:pPr>
      <w:bookmarkStart w:id="10127" w:name="ID0EBGAC"/>
      <w:r>
        <w:rPr/>
        <w:t xml:space="preserve">Option 2</w:t>
      </w:r>
      <w:bookmarkEnd w:id="10127"/>
    </w:p>
    <w:p>
      <w:pPr>
        <w:pStyle w:val="Flie_text"/>
        <w:rPr/>
      </w:pPr>
      <w:bookmarkStart w:id="10128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