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ODA"/>
            <w:r>
              <w:rPr/>
              <w:t xml:space="preserve">T5-DH1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ODA"/>
            <w:r>
              <w:rPr/>
              <w:t xml:space="preserve">122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O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O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O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O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O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O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O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ODA"/>
            <w:r>
              <w:rPr/>
              <w:t xml:space="preserve">5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O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O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O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Fehlercodes am Display</w:t>
      </w:r>
      <w:bookmarkEnd w:id="10108"/>
    </w:p>
    <w:p>
      <w:pPr>
        <w:pStyle w:val="Standard"/>
        <w:rPr/>
      </w:pPr>
      <w:bookmarkStart w:id="1010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10" w:name="ID0EZFAC"/>
      <w:r>
        <w:rPr/>
        <w:t xml:space="preserve">2X222</w:t>
      </w:r>
      <w:bookmarkEnd w:id="10110"/>
    </w:p>
    <w:p>
      <w:pPr>
        <w:pStyle w:val="Tabellentext"/>
        <w:rPr/>
      </w:pPr>
      <w:bookmarkStart w:id="10111" w:name="ID0EMGAC"/>
      <w:r>
        <w:rPr/>
        <w:t xml:space="preserve">Stellmotor blockiert</w:t>
      </w:r>
      <w:bookmarkEnd w:id="10111"/>
    </w:p>
    <w:p>
      <w:pPr>
        <w:pStyle w:val="Resultat"/>
        <w:rPr/>
      </w:pPr>
      <w:bookmarkStart w:id="10112" w:name="ID0EQHAC"/>
      <w:r>
        <w:rPr/>
        <w:t xml:space="preserve">Siehe Kapitel 7.3</w:t>
      </w:r>
      <w:bookmarkEnd w:id="1011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13" w:name="ID0ELJAC"/>
      <w:r>
        <w:rPr/>
        <w:t xml:space="preserve">3X333</w:t>
      </w:r>
      <w:bookmarkEnd w:id="10113"/>
    </w:p>
    <w:p>
      <w:pPr>
        <w:pStyle w:val="Tabellentext"/>
        <w:rPr/>
      </w:pPr>
      <w:bookmarkStart w:id="10114" w:name="ID0EDKAC"/>
      <w:r>
        <w:rPr/>
        <w:t xml:space="preserve">Heizelement defekt</w:t>
      </w:r>
      <w:bookmarkEnd w:id="10114"/>
    </w:p>
    <w:p>
      <w:pPr>
        <w:pStyle w:val="Resultat"/>
        <w:rPr/>
      </w:pPr>
      <w:bookmarkStart w:id="10115" w:name="ID0EXLAC"/>
      <w:r>
        <w:rPr/>
        <w:t xml:space="preserve">Lassen Sie den Rotor auswechseln</w:t>
      </w:r>
      <w:bookmarkEnd w:id="1011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16" w:name="ID0EPOAC"/>
      <w:r>
        <w:rPr/>
        <w:t xml:space="preserve">4X444</w:t>
      </w:r>
      <w:bookmarkEnd w:id="10116"/>
    </w:p>
    <w:p>
      <w:pPr>
        <w:pStyle w:val="Tabellentext"/>
        <w:rPr/>
      </w:pPr>
      <w:bookmarkStart w:id="10117" w:name="ID0EHPAC"/>
      <w:r>
        <w:rPr/>
        <w:t xml:space="preserve">Getriebe beschädigt</w:t>
      </w:r>
      <w:bookmarkEnd w:id="10117"/>
    </w:p>
    <w:p>
      <w:pPr>
        <w:pStyle w:val="Resultat"/>
        <w:rPr/>
      </w:pPr>
      <w:bookmarkStart w:id="10118" w:name="ID0EYAAE"/>
      <w:r>
        <w:rPr/>
        <w:t xml:space="preserve">Lassen Sie das Getriebe auswechseln</w:t>
      </w:r>
      <w:bookmarkEnd w:id="1011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19" w:name="ID0EFDAC"/>
      <w:r>
        <w:rPr/>
        <w:t xml:space="preserve">1X111</w:t>
      </w:r>
      <w:bookmarkEnd w:id="10119"/>
    </w:p>
    <w:p>
      <w:pPr>
        <w:pStyle w:val="Tabellentext"/>
        <w:rPr/>
      </w:pPr>
      <w:bookmarkStart w:id="10120" w:name="ID0E5DAC"/>
      <w:r>
        <w:rPr/>
        <w:t xml:space="preserve">Steuerung defekt</w:t>
      </w:r>
      <w:bookmarkEnd w:id="10120"/>
    </w:p>
    <w:p>
      <w:pPr>
        <w:pStyle w:val="Resultat"/>
        <w:rPr/>
      </w:pPr>
      <w:bookmarkStart w:id="10121" w:name="ID0ECFAC"/>
      <w:r>
        <w:rPr/>
        <w:t xml:space="preserve">Lassen Sie das Bedienteil auswechseln</w:t>
      </w:r>
      <w:bookmarkEnd w:id="10121"/>
    </w:p>
    <w:p>
      <w:pPr>
        <w:pStyle w:val="berschrift2"/>
        <w:rPr/>
      </w:pPr>
      <w:bookmarkStart w:id="10122" w:name="ID0EF"/>
      <w:r>
        <w:rPr/>
        <w:t xml:space="preserve">Manuelle Fehlerbehebung</w:t>
      </w:r>
      <w:bookmarkEnd w:id="10122"/>
    </w:p>
    <w:p>
      <w:pPr>
        <w:pStyle w:val="Standard"/>
        <w:rPr/>
      </w:pPr>
      <w:bookmarkStart w:id="10123" w:name="ID0EZF"/>
      <w:r>
        <w:rPr/>
        <w:t xml:space="preserve">Nicht alle Probleme sind elektronisch erfassbar.</w:t>
      </w:r>
      <w:bookmarkEnd w:id="10123"/>
    </w:p>
    <w:p>
      <w:pPr>
        <w:pStyle w:val="Standard"/>
        <w:rPr/>
      </w:pPr>
      <w:bookmarkStart w:id="10124" w:name="ID0EQBAC"/>
      <w:r>
        <w:rPr/>
        <w:t xml:space="preserve">Im Folgenden sind häufige Probleme mit möglichen Ursachen und den durchzuführenden Maßnahmen aufgelistet.</w:t>
      </w:r>
      <w:bookmarkEnd w:id="1012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5" w:name="ID0EUGAC"/>
      <w:r>
        <w:rPr/>
        <w:t xml:space="preserve">Das Gerät lässt sich nicht einschalten.</w:t>
      </w:r>
      <w:bookmarkEnd w:id="10125"/>
    </w:p>
    <w:p>
      <w:pPr>
        <w:pStyle w:val="Liste"/>
        <w:numPr>
          <w:ilvl w:val="0"/>
          <w:numId w:val="20"/>
        </w:numPr>
        <w:rPr/>
      </w:pPr>
      <w:bookmarkStart w:id="10126" w:name="ID0ETHAC"/>
      <w:r>
        <w:rPr/>
        <w:t xml:space="preserve">Der Netzstecker nicht vollständig in die Steckdose gesteckt.</w:t>
      </w:r>
      <w:bookmarkEnd w:id="10126"/>
    </w:p>
    <w:p>
      <w:pPr>
        <w:pStyle w:val="Liste"/>
        <w:numPr>
          <w:ilvl w:val="0"/>
          <w:numId w:val="20"/>
        </w:numPr>
        <w:rPr/>
      </w:pPr>
      <w:bookmarkStart w:id="10127" w:name="ID0EEIAC"/>
      <w:r>
        <w:rPr/>
        <w:t xml:space="preserve">Die Steckdosenleiste nicht eingeschaltet oder nicht an Steckdose eingesteckt.</w:t>
      </w:r>
      <w:bookmarkEnd w:id="10127"/>
    </w:p>
    <w:p>
      <w:pPr>
        <w:pStyle w:val="Liste"/>
        <w:numPr>
          <w:ilvl w:val="0"/>
          <w:numId w:val="20"/>
        </w:numPr>
        <w:rPr/>
      </w:pPr>
      <w:bookmarkStart w:id="10128" w:name="ID0EVIAC"/>
      <w:r>
        <w:rPr/>
        <w:t xml:space="preserve">Die Steckdose ist defekt</w:t>
      </w:r>
      <w:bookmarkEnd w:id="10128"/>
    </w:p>
    <w:p>
      <w:pPr>
        <w:pStyle w:val="Resultat"/>
        <w:rPr/>
      </w:pPr>
      <w:bookmarkStart w:id="10129" w:name="ID0EEKAC"/>
      <w:r>
        <w:rPr/>
        <w:t xml:space="preserve">Siehe Kapitel 7.3</w:t>
      </w:r>
      <w:bookmarkEnd w:id="10129"/>
    </w:p>
    <w:p>
      <w:pPr>
        <w:pStyle w:val="berschrift2"/>
        <w:rPr/>
      </w:pPr>
      <w:bookmarkStart w:id="10130" w:name="ID0EF"/>
      <w:r>
        <w:rPr/>
        <w:t xml:space="preserve">Stromzufuhr prüfen</w:t>
      </w:r>
      <w:bookmarkEnd w:id="10130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1" w:name="ID0EF"/>
      <w:r>
        <w:rPr/>
        <w:t xml:space="preserve">Schwenkbereich freiräumen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4G"/>
      <w:r>
        <w:rPr/>
        <w:t xml:space="preserve">Führen Sie im Falle einer Störung der Schwenkfunktion bitte folgende Schritte aus:</w:t>
      </w:r>
      <w:bookmarkEnd w:id="10133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