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ODA"/>
            <w:r>
              <w:rPr/>
              <w:t xml:space="preserve">T5-DH1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ODA"/>
            <w:r>
              <w:rPr/>
              <w:t xml:space="preserve">122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O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O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O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ODA"/>
            <w:r>
              <w:rPr/>
              <w:t xml:space="preserve">2.6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O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O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ODA"/>
            <w:r>
              <w:rPr/>
              <w:t xml:space="preserve">500-3400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ODA"/>
            <w:r>
              <w:rPr/>
              <w:t xml:space="preserve">5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O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O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O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Montage</w:t>
      </w:r>
      <w:bookmarkEnd w:id="10084"/>
    </w:p>
    <w:p>
      <w:pPr>
        <w:pStyle w:val="berschrift2"/>
        <w:rPr/>
      </w:pPr>
      <w:bookmarkStart w:id="10085" w:name="ID0EF"/>
      <w:r>
        <w:rPr/>
        <w:t xml:space="preserve">Rotor montieren</w:t>
      </w:r>
      <w:bookmarkEnd w:id="10085"/>
    </w:p>
    <w:p>
      <w:pPr>
        <w:pStyle w:val="berschrift3"/>
        <w:rPr/>
      </w:pPr>
      <w:bookmarkStart w:id="10086" w:name="ID0ECG"/>
      <w:r>
        <w:rPr/>
        <w:t xml:space="preserve">Sicherheitshinweise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7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5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90" w:name="ID0EUBAE"/>
      <w:r>
        <w:rPr/>
        <w:t xml:space="preserve">Die Schutzgitterrückseite ist nun montiert.</w:t>
      </w:r>
      <w:bookmarkEnd w:id="10090"/>
    </w:p>
    <w:p>
      <w:pPr>
        <w:pStyle w:val="Beschriftung"/>
        <w:rPr/>
      </w:pPr>
      <w:bookmarkStart w:id="10091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9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6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4" w:name="ID0EIJAE"/>
      <w:r>
        <w:rPr/>
        <w:t xml:space="preserve">Der Rotor ist nun montiert.</w:t>
      </w:r>
      <w:bookmarkEnd w:id="10094"/>
    </w:p>
    <w:p>
      <w:pPr>
        <w:pStyle w:val="Beschriftung"/>
        <w:rPr/>
      </w:pPr>
      <w:bookmarkStart w:id="10095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7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98" w:name="ID0EASAE"/>
      <w:r>
        <w:rPr/>
        <w:t xml:space="preserve">Die Schutzgitter-Vorderseite ist nun montiert.</w:t>
      </w:r>
      <w:bookmarkEnd w:id="10098"/>
    </w:p>
    <w:p>
      <w:pPr>
        <w:pStyle w:val="Beschriftung"/>
        <w:rPr/>
      </w:pPr>
      <w:bookmarkStart w:id="10099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8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2" w:name="ID0E5XAE"/>
      <w:r>
        <w:rPr/>
        <w:t xml:space="preserve">Sie haben den Rotor und das Schutzgitter nun fertig montiert.</w:t>
      </w:r>
      <w:bookmarkEnd w:id="10102"/>
    </w:p>
    <w:p>
      <w:pPr>
        <w:pStyle w:val="berschrift1"/>
        <w:rPr/>
      </w:pPr>
      <w:bookmarkStart w:id="10103" w:name="ID0EF"/>
      <w:r>
        <w:rPr/>
        <w:t xml:space="preserve">Wartung</w:t>
      </w:r>
      <w:bookmarkEnd w:id="10103"/>
    </w:p>
    <w:p>
      <w:pPr>
        <w:pStyle w:val="berschrift2"/>
        <w:rPr/>
      </w:pPr>
      <w:bookmarkStart w:id="10104" w:name="ID0EF"/>
      <w:r>
        <w:rPr/>
        <w:t xml:space="preserve">Rotor reinigen</w:t>
      </w:r>
      <w:bookmarkEnd w:id="101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5" w:name="ID0EFG"/>
      <w:r>
        <w:rPr/>
        <w:t xml:space="preserve">Sollten die Flügelräder des Rotors verschmutzt sein, können Sie sie wie folgt reinigen.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06" w:name="ID0EPBAC"/>
      <w:r>
        <w:rPr/>
        <w:t xml:space="preserve">Der Rotor ist nun gereinigt und das Gerät ist wieder betriebsbereit.</w:t>
      </w:r>
      <w:bookmarkEnd w:id="10106"/>
    </w:p>
    <w:p>
      <w:pPr>
        <w:pStyle w:val="berschrift1"/>
        <w:rPr/>
      </w:pPr>
      <w:bookmarkStart w:id="10107" w:name="ID0EF"/>
      <w:r>
        <w:rPr/>
        <w:t xml:space="preserve">Fehlerbehebung</w:t>
      </w:r>
      <w:bookmarkEnd w:id="10107"/>
    </w:p>
    <w:p>
      <w:pPr>
        <w:pStyle w:val="berschrift2"/>
        <w:rPr/>
      </w:pPr>
      <w:bookmarkStart w:id="10108" w:name="ID0EF"/>
      <w:r>
        <w:rPr/>
        <w:t xml:space="preserve">Fehlercodes am Display</w:t>
      </w:r>
      <w:bookmarkEnd w:id="10108"/>
    </w:p>
    <w:p>
      <w:pPr>
        <w:pStyle w:val="Standard"/>
        <w:rPr/>
      </w:pPr>
      <w:bookmarkStart w:id="1010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0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10" w:name="ID0EZFAC"/>
      <w:r>
        <w:rPr/>
        <w:t xml:space="preserve">2X222</w:t>
      </w:r>
      <w:bookmarkEnd w:id="10110"/>
    </w:p>
    <w:p>
      <w:pPr>
        <w:pStyle w:val="Tabellentext"/>
        <w:rPr/>
      </w:pPr>
      <w:bookmarkStart w:id="10111" w:name="ID0EMGAC"/>
      <w:r>
        <w:rPr/>
        <w:t xml:space="preserve">Stellmotor blockiert</w:t>
      </w:r>
      <w:bookmarkEnd w:id="10111"/>
    </w:p>
    <w:p>
      <w:pPr>
        <w:pStyle w:val="Resultat"/>
        <w:rPr/>
      </w:pPr>
      <w:bookmarkStart w:id="10112" w:name="ID0EQHAC"/>
      <w:r>
        <w:rPr/>
        <w:t xml:space="preserve">Siehe Kapitel 7.3</w:t>
      </w:r>
      <w:bookmarkEnd w:id="1011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13" w:name="ID0ELJAC"/>
      <w:r>
        <w:rPr/>
        <w:t xml:space="preserve">3X333</w:t>
      </w:r>
      <w:bookmarkEnd w:id="10113"/>
    </w:p>
    <w:p>
      <w:pPr>
        <w:pStyle w:val="Tabellentext"/>
        <w:rPr/>
      </w:pPr>
      <w:bookmarkStart w:id="10114" w:name="ID0EDKAC"/>
      <w:r>
        <w:rPr/>
        <w:t xml:space="preserve">Heizelement defekt</w:t>
      </w:r>
      <w:bookmarkEnd w:id="10114"/>
    </w:p>
    <w:p>
      <w:pPr>
        <w:pStyle w:val="Resultat"/>
        <w:rPr/>
      </w:pPr>
      <w:bookmarkStart w:id="10115" w:name="ID0EXLAC"/>
      <w:r>
        <w:rPr/>
        <w:t xml:space="preserve">Lassen Sie den Rotor auswechseln</w:t>
      </w:r>
      <w:bookmarkEnd w:id="1011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16" w:name="ID0EPOAC"/>
      <w:r>
        <w:rPr/>
        <w:t xml:space="preserve">4X444</w:t>
      </w:r>
      <w:bookmarkEnd w:id="10116"/>
    </w:p>
    <w:p>
      <w:pPr>
        <w:pStyle w:val="Tabellentext"/>
        <w:rPr/>
      </w:pPr>
      <w:bookmarkStart w:id="10117" w:name="ID0EHPAC"/>
      <w:r>
        <w:rPr/>
        <w:t xml:space="preserve">Getriebe beschädigt</w:t>
      </w:r>
      <w:bookmarkEnd w:id="10117"/>
    </w:p>
    <w:p>
      <w:pPr>
        <w:pStyle w:val="Resultat"/>
        <w:rPr/>
      </w:pPr>
      <w:bookmarkStart w:id="10118" w:name="ID0EYAAE"/>
      <w:r>
        <w:rPr/>
        <w:t xml:space="preserve">Lassen Sie das Getriebe auswechseln</w:t>
      </w:r>
      <w:bookmarkEnd w:id="1011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19" w:name="ID0EFDAC"/>
      <w:r>
        <w:rPr/>
        <w:t xml:space="preserve">1X111</w:t>
      </w:r>
      <w:bookmarkEnd w:id="10119"/>
    </w:p>
    <w:p>
      <w:pPr>
        <w:pStyle w:val="Tabellentext"/>
        <w:rPr/>
      </w:pPr>
      <w:bookmarkStart w:id="10120" w:name="ID0E5DAC"/>
      <w:r>
        <w:rPr/>
        <w:t xml:space="preserve">Steuerung defekt</w:t>
      </w:r>
      <w:bookmarkEnd w:id="10120"/>
    </w:p>
    <w:p>
      <w:pPr>
        <w:pStyle w:val="Resultat"/>
        <w:rPr/>
      </w:pPr>
      <w:bookmarkStart w:id="10121" w:name="ID0ECFAC"/>
      <w:r>
        <w:rPr/>
        <w:t xml:space="preserve">Lassen Sie das Bedienteil auswechseln</w:t>
      </w:r>
      <w:bookmarkEnd w:id="10121"/>
    </w:p>
    <w:p>
      <w:pPr>
        <w:pStyle w:val="berschrift2"/>
        <w:rPr/>
      </w:pPr>
      <w:bookmarkStart w:id="10122" w:name="ID0EF"/>
      <w:r>
        <w:rPr/>
        <w:t xml:space="preserve">Manuelle Fehlerbehebung</w:t>
      </w:r>
      <w:bookmarkEnd w:id="10122"/>
    </w:p>
    <w:p>
      <w:pPr>
        <w:pStyle w:val="Standard"/>
        <w:rPr/>
      </w:pPr>
      <w:bookmarkStart w:id="10123" w:name="ID0EZF"/>
      <w:r>
        <w:rPr/>
        <w:t xml:space="preserve">Nicht alle Probleme sind elektronisch erfassbar.</w:t>
      </w:r>
      <w:bookmarkEnd w:id="10123"/>
    </w:p>
    <w:p>
      <w:pPr>
        <w:pStyle w:val="Standard"/>
        <w:rPr/>
      </w:pPr>
      <w:bookmarkStart w:id="10124" w:name="ID0EQBAC"/>
      <w:r>
        <w:rPr/>
        <w:t xml:space="preserve">Im Folgenden sind häufige Probleme mit möglichen Ursachen und den durchzuführenden Maßnahmen aufgelistet.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20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20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20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3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36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34" w:name="ID0EF"/>
      <w:r>
        <w:rPr/>
        <w:t xml:space="preserve">Entsorgung</w:t>
      </w:r>
      <w:bookmarkEnd w:id="10134"/>
    </w:p>
    <w:p>
      <w:pPr>
        <w:pStyle w:val="Flie_text"/>
        <w:rPr/>
      </w:pPr>
      <w:bookmarkStart w:id="10135" w:name="ID0EAG"/>
      <w:r>
        <w:rPr/>
        <w:t xml:space="preserve">Das Gerät unterliegt den Entsorgungsbestimmungen für Elektrogeräte. Für die Entsorgung des Geräts stehen Ihnen zwei Optionen zur Verfügung:</w:t>
      </w:r>
      <w:bookmarkEnd w:id="10135"/>
    </w:p>
    <w:p>
      <w:pPr>
        <w:pStyle w:val="berschrift3"/>
        <w:rPr/>
      </w:pPr>
      <w:bookmarkStart w:id="10136" w:name="ID0EQG"/>
      <w:r>
        <w:rPr/>
        <w:t xml:space="preserve">Option 1</w:t>
      </w:r>
      <w:bookmarkEnd w:id="10136"/>
    </w:p>
    <w:p>
      <w:pPr>
        <w:pStyle w:val="Flie_text"/>
        <w:rPr/>
      </w:pPr>
      <w:bookmarkStart w:id="10137" w:name="ID0E2G"/>
      <w:r>
        <w:rPr/>
        <w:t xml:space="preserve">Entsorgen Sie die Bestandteile des Geräts selbst in den dafür vorgesehenen Behältern.</w:t>
      </w:r>
      <w:bookmarkEnd w:id="10137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38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38"/>
          </w:p>
        </w:tc>
        <w:tc>
          <w:tcPr/>
          <w:p>
            <w:pPr>
              <w:pStyle w:val="Tabellen_berschrift"/>
              <w:rPr/>
            </w:pPr>
            <w:bookmarkStart w:id="10139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0" w:name="ID0EXBAC"/>
            <w:r>
              <w:rPr/>
              <w:t xml:space="preserve">Metallteile</w:t>
            </w:r>
            <w:bookmarkEnd w:id="10140"/>
          </w:p>
        </w:tc>
        <w:tc>
          <w:tcPr/>
          <w:p>
            <w:pPr>
              <w:pStyle w:val="Tabellentext"/>
              <w:rPr/>
            </w:pPr>
            <w:bookmarkStart w:id="10141" w:name="ID0EHCAC"/>
            <w:r>
              <w:rPr/>
              <w:t xml:space="preserve">Sondermüll</w:t>
            </w:r>
            <w:bookmarkEnd w:id="101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2" w:name="ID0E3CAC"/>
            <w:r>
              <w:rPr/>
              <w:t xml:space="preserve">Kunststoffteile</w:t>
            </w:r>
            <w:bookmarkEnd w:id="10142"/>
          </w:p>
        </w:tc>
        <w:tc>
          <w:tcPr/>
          <w:p>
            <w:pPr>
              <w:pStyle w:val="Tabellentext"/>
              <w:rPr/>
            </w:pPr>
            <w:bookmarkStart w:id="10143" w:name="ID0EMDAC"/>
            <w:r>
              <w:rPr/>
              <w:t xml:space="preserve">Recyclingbehälter</w:t>
            </w:r>
            <w:bookmarkEnd w:id="101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4" w:name="ID0EBEAC"/>
            <w:r>
              <w:rPr/>
              <w:t xml:space="preserve">Folieverpackung</w:t>
            </w:r>
            <w:bookmarkEnd w:id="10144"/>
          </w:p>
        </w:tc>
        <w:tc>
          <w:tcPr/>
          <w:p>
            <w:pPr>
              <w:pStyle w:val="Tabellentext"/>
              <w:rPr/>
            </w:pPr>
            <w:bookmarkStart w:id="10145" w:name="ID0EREAC"/>
            <w:r>
              <w:rPr/>
              <w:t xml:space="preserve">Recyclingbehälter</w:t>
            </w:r>
            <w:bookmarkEnd w:id="101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6" w:name="ID0EGFAC"/>
            <w:r>
              <w:rPr/>
              <w:t xml:space="preserve">Kartonverpackung</w:t>
            </w:r>
            <w:bookmarkEnd w:id="10146"/>
          </w:p>
        </w:tc>
        <w:tc>
          <w:tcPr/>
          <w:p>
            <w:pPr>
              <w:pStyle w:val="Tabellentext"/>
              <w:rPr/>
            </w:pPr>
            <w:bookmarkStart w:id="10147" w:name="ID0EWFAC"/>
            <w:r>
              <w:rPr/>
              <w:t xml:space="preserve">Papier-Mülltonne</w:t>
            </w:r>
            <w:bookmarkEnd w:id="10147"/>
          </w:p>
        </w:tc>
      </w:tr>
    </w:tbl>
    <w:p>
      <w:pPr>
        <w:pStyle w:val="berschrift3"/>
        <w:rPr/>
      </w:pPr>
      <w:bookmarkStart w:id="10148" w:name="ID0EBGAC"/>
      <w:r>
        <w:rPr/>
        <w:t xml:space="preserve">Option 2</w:t>
      </w:r>
      <w:bookmarkEnd w:id="10148"/>
    </w:p>
    <w:p>
      <w:pPr>
        <w:pStyle w:val="Flie_text"/>
        <w:rPr/>
      </w:pPr>
      <w:bookmarkStart w:id="10149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4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2"/>
    </w:lvlOverride>
  </w:num>
  <w:num w:numId="38">
    <w:abstractNumId w:val="0"/>
    <w:lvlOverride w:ilvl="0">
      <w:startOverride w:val="3"/>
    </w:lvlOverride>
  </w:num>
  <w:num w:numId="39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