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3X333</w:t>
      </w:r>
    </w:p>
    <w:p>
      <w:pPr>
        <w:pStyle w:val="Tabellentext"/>
        <w:rPr/>
      </w:pPr>
      <w:bookmarkStart w:id="10001" w:name="ID0ELJAC"/>
      <w:r>
        <w:rPr/>
        <w:t xml:space="preserve">3X333</w:t>
      </w:r>
      <w:bookmarkEnd w:id="10001"/>
    </w:p>
    <w:p>
      <w:pPr>
        <w:pStyle w:val="Tabellentext"/>
        <w:rPr/>
      </w:pPr>
      <w:bookmarkStart w:id="10002" w:name="ID0EDKAC"/>
      <w:r>
        <w:rPr/>
        <w:t xml:space="preserve">Heizelement defekt</w:t>
      </w:r>
      <w:bookmarkEnd w:id="10002"/>
    </w:p>
    <w:p>
      <w:pPr>
        <w:pStyle w:val="Resultat"/>
        <w:rPr/>
      </w:pPr>
      <w:bookmarkStart w:id="10003" w:name="ID0EXLAC"/>
      <w:r>
        <w:rPr/>
        <w:t xml:space="preserve">Lassen Sie den Rotor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