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Der Rotor dreht sich nicht, obwohl das Gerät eingeschaltet ist.</w:t>
      </w:r>
    </w:p>
    <w:p>
      <w:pPr>
        <w:pStyle w:val="Tabellentext"/>
        <w:rPr/>
      </w:pPr>
      <w:bookmarkStart w:id="10001" w:name="ID0EKDAE"/>
      <w:r>
        <w:rPr/>
        <w:t xml:space="preserve">Der Rotor dreht sich nicht, obwohl das Gerät eingeschaltet ist.</w:t>
      </w:r>
      <w:bookmarkEnd w:id="10001"/>
    </w:p>
    <w:p>
      <w:pPr>
        <w:pStyle w:val="Tabellentext"/>
        <w:rPr/>
      </w:pPr>
      <w:bookmarkStart w:id="10002" w:name="ID0EIEAE"/>
      <w:r>
        <w:rPr/>
        <w:t xml:space="preserve">Der Elektromotor des Rotors ist defekt.</w:t>
      </w:r>
      <w:bookmarkEnd w:id="10002"/>
    </w:p>
    <w:p>
      <w:pPr>
        <w:pStyle w:val="Resultat"/>
        <w:rPr/>
      </w:pPr>
      <w:bookmarkStart w:id="10003" w:name="ID0EFGAE"/>
      <w:r>
        <w:rPr/>
        <w:t xml:space="preserve">Wenn die Gewährleistungsfrist noch besteht, wenden Sie sich an Ihren Händler</w:t>
      </w:r>
      <w:bookmarkEnd w:id="10003"/>
    </w:p>
    <w:p>
      <w:pPr>
        <w:pStyle w:val="Resultat"/>
        <w:rPr/>
      </w:pPr>
      <w:bookmarkStart w:id="10004" w:name="ID0EYGAE"/>
      <w:r>
        <w:rPr/>
        <w:t xml:space="preserve">oder lesen Sie im Kapitel 7.5 nach, wie Sie den Elektromotor selbst tauschen</w:t>
      </w:r>
      <w:bookmarkEnd w:id="10004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2016-11-06T17:19:44Z</dcterms:created>
  <dcterms:modified xmlns:dcterms="http://purl.org/dc/terms/" xmlns:xsi="http://www.w3.org/2001/XMLSchema-instance" xsi:type="dcterms:W3CDTF">2016-11-06T17:19:44Z</dcterms:modified>
</cp:coreProperties>
</file>