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GC0K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004" w:name="ID0EPOAC"/>
      <w:r>
        <w:rPr/>
        <w:t xml:space="preserve">Die Heizung ist nun auf niedriger Stufe eingeschaltet.</w:t>
      </w:r>
      <w:bookmarkEnd w:id="10004"/>
    </w:p>
    <w:p>
      <w:pPr>
        <w:pStyle w:val="Resultat"/>
        <w:rPr/>
      </w:pPr>
      <w:bookmarkStart w:id="10005" w:name="ID0EBPAC"/>
      <w:r>
        <w:rPr/>
        <w:t xml:space="preserve">Die einzelne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006" w:name="ID0E5PAC"/>
      <w:r>
        <w:rPr/>
        <w:t xml:space="preserve">Die Heizung ist nun auf hoher Stufe eingeschaltet.</w:t>
      </w:r>
      <w:bookmarkEnd w:id="10006"/>
    </w:p>
    <w:p>
      <w:pPr>
        <w:pStyle w:val="Resultat"/>
        <w:rPr/>
      </w:pPr>
      <w:bookmarkStart w:id="10007" w:name="ID0EKAAE"/>
      <w:r>
        <w:rPr/>
        <w:t xml:space="preserve">Die doppelten roten LEDs leuchten.</w:t>
      </w:r>
      <w:bookmarkEnd w:id="10007"/>
    </w:p>
    <w:p>
      <w:pPr>
        <w:pStyle w:val="Liste"/>
        <w:numPr>
          <w:ilvl w:val="0"/>
          <w:numId w:val="17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008" w:name="ID0EHBAE"/>
      <w:r>
        <w:rPr/>
        <w:t xml:space="preserve">Die Heizung ist nun ausgeschaltet.</w:t>
      </w:r>
      <w:bookmarkEnd w:id="10008"/>
    </w:p>
    <w:p>
      <w:pPr>
        <w:pStyle w:val="Resultat"/>
        <w:rPr/>
      </w:pPr>
      <w:bookmarkStart w:id="10009" w:name="ID0ESBAE"/>
      <w:r>
        <w:rPr/>
        <w:t xml:space="preserve">Keine der roten LEDs leuchtet.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GC0K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