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JDA"/>
            <w:r>
              <w:rPr/>
              <w:t xml:space="preserve">X3-B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JDA"/>
            <w:r>
              <w:rPr/>
              <w:t xml:space="preserve">211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J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J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J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JDA"/>
            <w:r>
              <w:rPr/>
              <w:t xml:space="preserve">4.4000000000000004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J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JDA"/>
            <w:r>
              <w:rPr/>
              <w:t xml:space="preserve">43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JDA"/>
            <w:r>
              <w:rPr/>
              <w:t xml:space="preserve">900-4200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JDA"/>
            <w:r>
              <w:rPr/>
              <w:t xml:space="preserve">3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J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J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J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Manuelle Fehlerbehebung</w:t>
      </w:r>
      <w:bookmarkEnd w:id="10119"/>
    </w:p>
    <w:p>
      <w:pPr>
        <w:pStyle w:val="Standard"/>
        <w:rPr/>
      </w:pPr>
      <w:bookmarkStart w:id="10120" w:name="ID0EQBAC"/>
      <w:r>
        <w:rPr/>
        <w:t xml:space="preserve">Im Folgenden sind häufige Probleme mit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21" w:name="ID0E3LAC"/>
      <w:r>
        <w:rPr/>
        <w:t xml:space="preserve">Der Rotor dreht sich nicht, obwohl das Gerät eingeschaltet ist.</w:t>
      </w:r>
      <w:bookmarkEnd w:id="10121"/>
    </w:p>
    <w:p>
      <w:pPr>
        <w:pStyle w:val="Liste"/>
        <w:numPr>
          <w:ilvl w:val="0"/>
          <w:numId w:val="18"/>
        </w:numPr>
        <w:rPr/>
      </w:pPr>
      <w:bookmarkStart w:id="10122" w:name="ID0E1MAC"/>
      <w:r>
        <w:rPr/>
        <w:t xml:space="preserve">Das Getriebe ist beschädigt.</w:t>
      </w:r>
      <w:bookmarkEnd w:id="10122"/>
    </w:p>
    <w:p>
      <w:pPr>
        <w:pStyle w:val="Resultat"/>
        <w:rPr/>
      </w:pPr>
      <w:bookmarkStart w:id="10123" w:name="ID0EFPAC"/>
      <w:r>
        <w:rPr/>
        <w:t xml:space="preserve">Lassen Sie das Getriebe tauschen</w:t>
      </w:r>
      <w:bookmarkEnd w:id="1012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4" w:name="ID0EUGAC"/>
      <w:r>
        <w:rPr/>
        <w:t xml:space="preserve">Das Gerät lässt sich nicht einschalten.</w:t>
      </w:r>
      <w:bookmarkEnd w:id="10124"/>
    </w:p>
    <w:p>
      <w:pPr>
        <w:pStyle w:val="Liste"/>
        <w:numPr>
          <w:ilvl w:val="0"/>
          <w:numId w:val="19"/>
        </w:numPr>
        <w:rPr/>
      </w:pPr>
      <w:bookmarkStart w:id="10125" w:name="ID0ETHAC"/>
      <w:r>
        <w:rPr/>
        <w:t xml:space="preserve">Der Netzstecker nicht vollständig in die Steckdose gesteckt.</w:t>
      </w:r>
      <w:bookmarkEnd w:id="10125"/>
    </w:p>
    <w:p>
      <w:pPr>
        <w:pStyle w:val="Liste"/>
        <w:numPr>
          <w:ilvl w:val="0"/>
          <w:numId w:val="19"/>
        </w:numPr>
        <w:rPr/>
      </w:pPr>
      <w:bookmarkStart w:id="10126" w:name="ID0EEIAC"/>
      <w:r>
        <w:rPr/>
        <w:t xml:space="preserve">Die Steckdosenleiste nicht eingeschaltet oder nicht an Steckdose eingesteckt.</w:t>
      </w:r>
      <w:bookmarkEnd w:id="10126"/>
    </w:p>
    <w:p>
      <w:pPr>
        <w:pStyle w:val="Liste"/>
        <w:numPr>
          <w:ilvl w:val="0"/>
          <w:numId w:val="19"/>
        </w:numPr>
        <w:rPr/>
      </w:pPr>
      <w:bookmarkStart w:id="10127" w:name="ID0EVIAC"/>
      <w:r>
        <w:rPr/>
        <w:t xml:space="preserve">Die Steckdose ist defekt</w:t>
      </w:r>
      <w:bookmarkEnd w:id="10127"/>
    </w:p>
    <w:p>
      <w:pPr>
        <w:pStyle w:val="Resultat"/>
        <w:rPr/>
      </w:pPr>
      <w:bookmarkStart w:id="10128" w:name="ID0EEKAC"/>
      <w:r>
        <w:rPr/>
        <w:t xml:space="preserve">Siehe Kapitel 7.3</w:t>
      </w:r>
      <w:bookmarkEnd w:id="10128"/>
    </w:p>
    <w:p>
      <w:pPr>
        <w:pStyle w:val="berschrift2"/>
        <w:rPr/>
      </w:pPr>
      <w:bookmarkStart w:id="10129" w:name="ID0EF"/>
      <w:r>
        <w:rPr/>
        <w:t xml:space="preserve">Stromzufuhr prüfen</w:t>
      </w:r>
      <w:bookmarkEnd w:id="10129"/>
    </w:p>
    <w:p>
      <w:pPr>
        <w:pStyle w:val="Liste"/>
        <w:numPr>
          <w:ilvl w:val="0"/>
          <w:numId w:val="38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0" w:name="ID0EF"/>
      <w:r>
        <w:rPr/>
        <w:t xml:space="preserve">Schwenkbereich freiräumen</w:t>
      </w:r>
      <w:bookmarkEnd w:id="1013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4G"/>
      <w:r>
        <w:rPr/>
        <w:t xml:space="preserve">Führen Sie im Falle einer Störung der Schwenkfunktion bitte folgende Schritte aus:</w:t>
      </w:r>
      <w:bookmarkEnd w:id="10132"/>
    </w:p>
    <w:p>
      <w:pPr>
        <w:pStyle w:val="Liste"/>
        <w:numPr>
          <w:ilvl w:val="0"/>
          <w:numId w:val="41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33" w:name="ID0EF"/>
      <w:r>
        <w:rPr/>
        <w:t xml:space="preserve">Entsorgung</w:t>
      </w:r>
      <w:bookmarkEnd w:id="10133"/>
    </w:p>
    <w:p>
      <w:pPr>
        <w:pStyle w:val="Flie_text"/>
        <w:rPr/>
      </w:pPr>
      <w:bookmarkStart w:id="10134" w:name="ID0EAG"/>
      <w:r>
        <w:rPr/>
        <w:t xml:space="preserve">Das Gerät unterliegt den Entsorgungsbestimmungen für Elektrogeräte. Für die Entsorgung des Geräts stehen Ihnen zwei Optionen zur Verfügung:</w:t>
      </w:r>
      <w:bookmarkEnd w:id="10134"/>
    </w:p>
    <w:p>
      <w:pPr>
        <w:pStyle w:val="berschrift3"/>
        <w:rPr/>
      </w:pPr>
      <w:bookmarkStart w:id="10135" w:name="ID0EQG"/>
      <w:r>
        <w:rPr/>
        <w:t xml:space="preserve">Option 1</w:t>
      </w:r>
      <w:bookmarkEnd w:id="10135"/>
    </w:p>
    <w:p>
      <w:pPr>
        <w:pStyle w:val="Flie_text"/>
        <w:rPr/>
      </w:pPr>
      <w:bookmarkStart w:id="10136" w:name="ID0E2G"/>
      <w:r>
        <w:rPr/>
        <w:t xml:space="preserve">Entsorgen Sie die Bestandteile des Geräts selbst in den dafür vorgesehenen Behältern.</w:t>
      </w:r>
      <w:bookmarkEnd w:id="10136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37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37"/>
          </w:p>
        </w:tc>
        <w:tc>
          <w:tcPr/>
          <w:p>
            <w:pPr>
              <w:pStyle w:val="Tabellen_berschrift"/>
              <w:rPr/>
            </w:pPr>
            <w:bookmarkStart w:id="10138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9" w:name="ID0EXBAC"/>
            <w:r>
              <w:rPr/>
              <w:t xml:space="preserve">Metallteile</w:t>
            </w:r>
            <w:bookmarkEnd w:id="10139"/>
          </w:p>
        </w:tc>
        <w:tc>
          <w:tcPr/>
          <w:p>
            <w:pPr>
              <w:pStyle w:val="Tabellentext"/>
              <w:rPr/>
            </w:pPr>
            <w:bookmarkStart w:id="10140" w:name="ID0EHCAC"/>
            <w:r>
              <w:rPr/>
              <w:t xml:space="preserve">Sondermüll</w:t>
            </w:r>
            <w:bookmarkEnd w:id="101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1" w:name="ID0E3CAC"/>
            <w:r>
              <w:rPr/>
              <w:t xml:space="preserve">Kunststoffteile</w:t>
            </w:r>
            <w:bookmarkEnd w:id="10141"/>
          </w:p>
        </w:tc>
        <w:tc>
          <w:tcPr/>
          <w:p>
            <w:pPr>
              <w:pStyle w:val="Tabellentext"/>
              <w:rPr/>
            </w:pPr>
            <w:bookmarkStart w:id="10142" w:name="ID0EMDAC"/>
            <w:r>
              <w:rPr/>
              <w:t xml:space="preserve">Recyclingbehälter</w:t>
            </w:r>
            <w:bookmarkEnd w:id="101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3" w:name="ID0EBEAC"/>
            <w:r>
              <w:rPr/>
              <w:t xml:space="preserve">Folieverpackung</w:t>
            </w:r>
            <w:bookmarkEnd w:id="10143"/>
          </w:p>
        </w:tc>
        <w:tc>
          <w:tcPr/>
          <w:p>
            <w:pPr>
              <w:pStyle w:val="Tabellentext"/>
              <w:rPr/>
            </w:pPr>
            <w:bookmarkStart w:id="10144" w:name="ID0EREAC"/>
            <w:r>
              <w:rPr/>
              <w:t xml:space="preserve">Recyclingbehälter</w:t>
            </w:r>
            <w:bookmarkEnd w:id="101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5" w:name="ID0EGFAC"/>
            <w:r>
              <w:rPr/>
              <w:t xml:space="preserve">Kartonverpackung</w:t>
            </w:r>
            <w:bookmarkEnd w:id="10145"/>
          </w:p>
        </w:tc>
        <w:tc>
          <w:tcPr/>
          <w:p>
            <w:pPr>
              <w:pStyle w:val="Tabellentext"/>
              <w:rPr/>
            </w:pPr>
            <w:bookmarkStart w:id="10146" w:name="ID0EWFAC"/>
            <w:r>
              <w:rPr/>
              <w:t xml:space="preserve">Papier-Mülltonne</w:t>
            </w:r>
            <w:bookmarkEnd w:id="10146"/>
          </w:p>
        </w:tc>
      </w:tr>
    </w:tbl>
    <w:p>
      <w:pPr>
        <w:pStyle w:val="berschrift3"/>
        <w:rPr/>
      </w:pPr>
      <w:bookmarkStart w:id="10147" w:name="ID0EBGAC"/>
      <w:r>
        <w:rPr/>
        <w:t xml:space="preserve">Option 2</w:t>
      </w:r>
      <w:bookmarkEnd w:id="10147"/>
    </w:p>
    <w:p>
      <w:pPr>
        <w:pStyle w:val="Flie_text"/>
        <w:rPr/>
      </w:pPr>
      <w:bookmarkStart w:id="10148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4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  <w:num w:numId="4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2016-08-13T21:22:43Z</dcterms:created>
  <dcterms:modified xmlns:dcterms="http://purl.org/dc/terms/" xmlns:xsi="http://www.w3.org/2001/XMLSchema-instance" xsi:type="dcterms:W3CDTF">2016-08-13T21:22:43Z</dcterms:modified>
</cp:coreProperties>
</file>