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Bestimmungsgemäße Verwendung</w:t>
      </w:r>
      <w:bookmarkEnd w:id="10001"/>
    </w:p>
    <w:p>
      <w:pPr>
        <w:pStyle w:val="Flie_text"/>
        <w:rPr/>
      </w:pPr>
      <w:bookmarkStart w:id="10002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02"/>
    </w:p>
    <w:p>
      <w:pPr>
        <w:pStyle w:val="Flie_text"/>
        <w:rPr/>
      </w:pPr>
      <w:bookmarkStart w:id="10003" w:name="ID0ETG"/>
      <w:r>
        <w:rPr/>
        <w:t xml:space="preserve">Die bestimmungsgemäße Verwendung umfasst: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HH"/>
      <w:r>
        <w:rPr/>
        <w:t xml:space="preserve">Belüften von Privat- und Büroräumen oder -raumabschnitten.</w:t>
      </w:r>
      <w:bookmarkEnd w:id="10004"/>
    </w:p>
    <w:p>
      <w:pPr>
        <w:pStyle w:val="Liste"/>
        <w:numPr>
          <w:ilvl w:val="0"/>
          <w:numId w:val="16"/>
        </w:numPr>
        <w:rPr/>
      </w:pPr>
      <w:bookmarkStart w:id="10005" w:name="ID0E5H"/>
      <w:r>
        <w:rPr/>
        <w:t xml:space="preserve">Aufheizen von Privat- und Büroräumen oder -raumabschnitten.</w:t>
      </w:r>
      <w:bookmarkEnd w:id="10005"/>
    </w:p>
    <w:p>
      <w:pPr>
        <w:pStyle w:val="Liste"/>
        <w:numPr>
          <w:ilvl w:val="0"/>
          <w:numId w:val="17"/>
        </w:numPr>
        <w:rPr/>
      </w:pPr>
      <w:bookmarkStart w:id="10006" w:name="ID0EKCAC"/>
      <w:r>
        <w:rPr/>
        <w:t xml:space="preserve">Das Gerät darf nur bei Temperaturen zwischen -10°C und +40°C betrieben werden.</w:t>
      </w:r>
      <w:bookmarkEnd w:id="10006"/>
    </w:p>
    <w:p>
      <w:pPr>
        <w:pStyle w:val="Liste"/>
        <w:numPr>
          <w:ilvl w:val="0"/>
          <w:numId w:val="17"/>
        </w:numPr>
        <w:rPr/>
      </w:pPr>
      <w:bookmarkStart w:id="10007" w:name="ID0EYCAC"/>
      <w:r>
        <w:rPr/>
        <w:t xml:space="preserve">Das Gerät darf nur bei Temperaturen zwischen +5°C und +40°C gelagert werden.</w:t>
      </w:r>
      <w:bookmarkEnd w:id="10007"/>
    </w:p>
    <w:p>
      <w:pPr>
        <w:pStyle w:val="Liste"/>
        <w:numPr>
          <w:ilvl w:val="0"/>
          <w:numId w:val="17"/>
        </w:numPr>
        <w:rPr/>
      </w:pPr>
      <w:bookmarkStart w:id="10008" w:name="ID0ERDAC"/>
      <w:r>
        <w:rPr/>
        <w:t xml:space="preserve">Für den Transport innerhalb von Räumen muss die Tragevorrichtung am Gerät verwendet werden.</w:t>
      </w:r>
      <w:bookmarkEnd w:id="10008"/>
    </w:p>
    <w:p>
      <w:pPr>
        <w:pStyle w:val="Liste"/>
        <w:numPr>
          <w:ilvl w:val="0"/>
          <w:numId w:val="17"/>
        </w:numPr>
        <w:rPr/>
      </w:pPr>
      <w:bookmarkStart w:id="10009" w:name="ID0EIEAC"/>
      <w:r>
        <w:rPr/>
        <w:t xml:space="preserve">Während des Betriebs muss das Gerät auf seinem Standfuß stehen.</w:t>
      </w:r>
      <w:bookmarkEnd w:id="1000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2016-08-13T21:22:44Z</dcterms:created>
  <dcterms:modified xmlns:dcterms="http://purl.org/dc/terms/" xmlns:xsi="http://www.w3.org/2001/XMLSchema-instance" xsi:type="dcterms:W3CDTF">2016-08-13T21:22:44Z</dcterms:modified>
</cp:coreProperties>
</file>