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001" w:name="ID0E3LAC"/>
      <w:r>
        <w:rPr/>
        <w:t xml:space="preserve">Der Rotor dreht sich nicht, obwohl das Gerät eingeschaltet ist.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1MAC"/>
      <w:r>
        <w:rPr/>
        <w:t xml:space="preserve">Das Getriebe ist beschädigt.</w:t>
      </w:r>
      <w:bookmarkEnd w:id="10002"/>
    </w:p>
    <w:p>
      <w:pPr>
        <w:pStyle w:val="Resultat"/>
        <w:rPr/>
      </w:pPr>
      <w:bookmarkStart w:id="10003" w:name="ID0EFPAC"/>
      <w:r>
        <w:rPr/>
        <w:t xml:space="preserve">Lassen Sie das Getriebe tauschen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