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GDA"/>
            <w:r>
              <w:rPr/>
              <w:t xml:space="preserve">X5-D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GDA"/>
            <w:r>
              <w:rPr/>
              <w:t xml:space="preserve">222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G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G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G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GDA"/>
            <w:r>
              <w:rPr/>
              <w:t xml:space="preserve">4.5999999999999996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G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GDA"/>
            <w:r>
              <w:rPr/>
              <w:t xml:space="preserve">50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GDA"/>
            <w:r>
              <w:rPr/>
              <w:t xml:space="preserve">900-4800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GDA"/>
            <w:r>
              <w:rPr/>
              <w:t xml:space="preserve">5 Stufen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G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G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G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: 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: 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: 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: 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KFAE"/>
      <w:r>
        <w:rPr/>
        <w:t xml:space="preserve">Mit dem Drehknopf 1 steuern Sie die Geschwindigkeit des Lüfterrades.</w:t>
      </w:r>
      <w:bookmarkEnd w:id="1013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0" w:name="ID0EYIAE"/>
      <w:bookmarkEnd w:id="1014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41" w:name="ID0EDJAE"/>
      <w:r>
        <w:rPr/>
        <w:t xml:space="preserve">(ergibt 5_3d)</w:t>
      </w:r>
      <w:bookmarkEnd w:id="1014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224791"/>
            <wp:effectExtent l="0" t="0" r="6985" b="7620"/>
            <wp:wrapTopAndBottom/>
            <wp:docPr id="100000015" name="Bedienteil_m_Display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m_Display.png"/>
                    <pic:cNvPicPr/>
                  </pic:nvPicPr>
                  <pic:blipFill>
                    <a:blip r:embed="rIdimg_newid_ID6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22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44" w:name="ID0EOBAE"/>
      <w:r>
        <w:rPr/>
        <w:t xml:space="preserve">(ergibt 5_3c)</w:t>
      </w:r>
      <w:bookmarkEnd w:id="10144"/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45" w:name="ID0ENGAE"/>
      <w:r>
        <w:rPr/>
        <w:t xml:space="preserve">Das Lüfterrad dreht sich nun auf der geringsten Stufe.</w:t>
      </w:r>
      <w:bookmarkEnd w:id="10145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6" w:name="ID0EMIAE"/>
      <w:r>
        <w:rPr/>
        <w:t xml:space="preserve">Das Gerät ist nun ausgeschaltet und verbraucht keinen Strom mehr.</w:t>
      </w:r>
      <w:bookmarkEnd w:id="10146"/>
    </w:p>
    <w:p>
      <w:pPr>
        <w:pStyle w:val="berschrift2"/>
        <w:rPr/>
      </w:pPr>
      <w:bookmarkStart w:id="10147" w:name="ID0EF"/>
      <w:r>
        <w:rPr/>
        <w:t xml:space="preserve">Schwenkfunktion ein-/ausschalten</w:t>
      </w:r>
      <w:bookmarkEnd w:id="1014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3224791"/>
            <wp:effectExtent l="0" t="0" r="6985" b="7620"/>
            <wp:wrapTopAndBottom/>
            <wp:docPr id="100000016" name="Bedienteil_m_Display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m_Display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322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50" w:name="ID0E6SAE"/>
      <w:r>
        <w:rPr/>
        <w:t xml:space="preserve">Die Schwenkfunktion ist nun eingeschaltet und die Taste 1 bleibt gedrückt.</w:t>
      </w:r>
      <w:bookmarkEnd w:id="10150"/>
    </w:p>
    <w:p>
      <w:pPr>
        <w:pStyle w:val="Resultat"/>
        <w:rPr/>
      </w:pPr>
      <w:bookmarkStart w:id="10151" w:name="ID0ERTAE"/>
      <w:r>
        <w:rPr/>
        <w:t xml:space="preserve">Die grüne LED leuchtet.</w:t>
      </w:r>
      <w:bookmarkEnd w:id="10151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2" w:name="ID0ESUAE"/>
      <w:r>
        <w:rPr/>
        <w:t xml:space="preserve">Die Schwenkfunktion ist nun ausgeschaltet und die Taste 1 befindet sich wieder in ihrer Ausgangsposition.</w:t>
      </w:r>
      <w:bookmarkEnd w:id="10152"/>
    </w:p>
    <w:p>
      <w:pPr>
        <w:pStyle w:val="Resultat"/>
        <w:rPr/>
      </w:pPr>
      <w:bookmarkStart w:id="10153" w:name="ID0EEVAE"/>
      <w:r>
        <w:rPr/>
        <w:t xml:space="preserve">Die grüne LED leuchtet nicht.</w:t>
      </w:r>
      <w:bookmarkEnd w:id="10153"/>
    </w:p>
    <w:p>
      <w:pPr>
        <w:pStyle w:val="berschrift2"/>
        <w:rPr/>
      </w:pPr>
      <w:bookmarkStart w:id="10154" w:name="ID0EF"/>
      <w:r>
        <w:rPr/>
        <w:t xml:space="preserve">Display</w:t>
      </w:r>
      <w:bookmarkEnd w:id="10154"/>
    </w:p>
    <w:p>
      <w:pPr>
        <w:pStyle w:val="Flie_text"/>
        <w:rPr/>
      </w:pPr>
      <w:bookmarkStart w:id="10155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55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56" w:name="ID0ETAAC"/>
            <w:r>
              <w:rPr>
                <w:noProof/>
              </w:rPr>
              <w:drawing>
                <wp:inline distT="0" distB="0" distL="0" distR="0">
                  <wp:extent cx="2161035" cy="3224791"/>
                  <wp:effectExtent l="0" t="0" r="5080" b="0"/>
                  <wp:docPr id="100000017" name="Bedienteil_m_Display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7" name="Bedienteil_m_Display.png"/>
                          <pic:cNvPicPr/>
                        </pic:nvPicPr>
                        <pic:blipFill>
                          <a:blip r:embed="rIdimg_newid_ID8AAAC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5" cy="32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0156"/>
          </w:p>
          <w:p>
            <w:pPr>
              <w:pStyle w:val="Flie_text"/>
              <w:rPr/>
            </w:pPr>
            <w:bookmarkStart w:id="10158" w:name="ID0EUJAC"/>
            <w:bookmarkEnd w:id="10158"/>
          </w:p>
          <w:p>
            <w:pPr>
              <w:pStyle w:val="Flie_text"/>
              <w:rPr/>
            </w:pPr>
            <w:bookmarkStart w:id="10159" w:name="ID0EGNAC"/>
            <w:bookmarkEnd w:id="10159"/>
          </w:p>
        </w:tc>
        <w:tc>
          <w:tcPr/>
          <w:p>
            <w:pPr>
              <w:pStyle w:val="Flie_text"/>
              <w:rPr/>
            </w:pPr>
            <w:bookmarkStart w:id="10160" w:name="ID0E5AAE"/>
            <w:bookmarkEnd w:id="10160"/>
          </w:p>
        </w:tc>
      </w:tr>
    </w:tbl>
    <w:p>
      <w:pPr>
        <w:pStyle w:val="berschrift1"/>
        <w:rPr/>
      </w:pPr>
      <w:bookmarkStart w:id="10161" w:name="ID0EF"/>
      <w:r>
        <w:rPr/>
        <w:t xml:space="preserve">Wartung</w:t>
      </w:r>
      <w:bookmarkEnd w:id="10161"/>
    </w:p>
    <w:p>
      <w:pPr>
        <w:pStyle w:val="berschrift2"/>
        <w:rPr/>
      </w:pPr>
      <w:bookmarkStart w:id="10162" w:name="ID0EF"/>
      <w:r>
        <w:rPr/>
        <w:t xml:space="preserve">Rotor reinigen</w:t>
      </w:r>
      <w:bookmarkEnd w:id="1016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63" w:name="ID0EFG"/>
      <w:r>
        <w:rPr/>
        <w:t xml:space="preserve">Sollten die Flügelräder des Rotors verschmutzt sein, können Sie sie wie folgt reinigen.</w:t>
      </w:r>
      <w:bookmarkEnd w:id="10163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64" w:name="ID0EPBAC"/>
      <w:r>
        <w:rPr/>
        <w:t xml:space="preserve">Der Rotor ist nun gereinigt und das Gerät ist wieder betriebsbereit.</w:t>
      </w:r>
      <w:bookmarkEnd w:id="10164"/>
    </w:p>
    <w:p>
      <w:pPr>
        <w:pStyle w:val="berschrift1"/>
        <w:rPr/>
      </w:pPr>
      <w:bookmarkStart w:id="10165" w:name="ID0EF"/>
      <w:r>
        <w:rPr/>
        <w:t xml:space="preserve">Fehlerbehebung</w:t>
      </w:r>
      <w:bookmarkEnd w:id="10165"/>
    </w:p>
    <w:p>
      <w:pPr>
        <w:pStyle w:val="berschrift2"/>
        <w:rPr/>
      </w:pPr>
      <w:bookmarkStart w:id="10166" w:name="ID0EF"/>
      <w:r>
        <w:rPr/>
        <w:t xml:space="preserve">Fehlercodes am Display</w:t>
      </w:r>
      <w:bookmarkEnd w:id="10166"/>
    </w:p>
    <w:p>
      <w:pPr>
        <w:pStyle w:val="Standard"/>
        <w:rPr/>
      </w:pPr>
      <w:bookmarkStart w:id="10167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67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68" w:name="ID0EZFAC"/>
      <w:r>
        <w:rPr/>
        <w:t xml:space="preserve">2X222</w:t>
      </w:r>
      <w:bookmarkEnd w:id="10168"/>
    </w:p>
    <w:p>
      <w:pPr>
        <w:pStyle w:val="Tabellentext"/>
        <w:rPr/>
      </w:pPr>
      <w:bookmarkStart w:id="10169" w:name="ID0EMGAC"/>
      <w:r>
        <w:rPr/>
        <w:t xml:space="preserve">Stellmotor blockiert</w:t>
      </w:r>
      <w:bookmarkEnd w:id="10169"/>
    </w:p>
    <w:p>
      <w:pPr>
        <w:pStyle w:val="Resultat"/>
        <w:rPr/>
      </w:pPr>
      <w:bookmarkStart w:id="10170" w:name="ID0EQHAC"/>
      <w:r>
        <w:rPr/>
        <w:t xml:space="preserve">Siehe Kapitel 7.3</w:t>
      </w:r>
      <w:bookmarkEnd w:id="10170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71" w:name="ID0EPOAC"/>
      <w:r>
        <w:rPr/>
        <w:t xml:space="preserve">4X444</w:t>
      </w:r>
      <w:bookmarkEnd w:id="10171"/>
    </w:p>
    <w:p>
      <w:pPr>
        <w:pStyle w:val="Tabellentext"/>
        <w:rPr/>
      </w:pPr>
      <w:bookmarkStart w:id="10172" w:name="ID0EHPAC"/>
      <w:r>
        <w:rPr/>
        <w:t xml:space="preserve">Getriebe beschädigt</w:t>
      </w:r>
      <w:bookmarkEnd w:id="10172"/>
    </w:p>
    <w:p>
      <w:pPr>
        <w:pStyle w:val="Resultat"/>
        <w:rPr/>
      </w:pPr>
      <w:bookmarkStart w:id="10173" w:name="ID0EYAAE"/>
      <w:r>
        <w:rPr/>
        <w:t xml:space="preserve">Lassen Sie das Getriebe auswechseln</w:t>
      </w:r>
      <w:bookmarkEnd w:id="10173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74" w:name="ID0EFDAC"/>
      <w:r>
        <w:rPr/>
        <w:t xml:space="preserve">1X111</w:t>
      </w:r>
      <w:bookmarkEnd w:id="10174"/>
    </w:p>
    <w:p>
      <w:pPr>
        <w:pStyle w:val="Tabellentext"/>
        <w:rPr/>
      </w:pPr>
      <w:bookmarkStart w:id="10175" w:name="ID0E5DAC"/>
      <w:r>
        <w:rPr/>
        <w:t xml:space="preserve">Steuerung defekt</w:t>
      </w:r>
      <w:bookmarkEnd w:id="10175"/>
    </w:p>
    <w:p>
      <w:pPr>
        <w:pStyle w:val="Resultat"/>
        <w:rPr/>
      </w:pPr>
      <w:bookmarkStart w:id="10176" w:name="ID0ECFAC"/>
      <w:r>
        <w:rPr/>
        <w:t xml:space="preserve">Lassen Sie das Bedienteil auswechseln</w:t>
      </w:r>
      <w:bookmarkEnd w:id="10176"/>
    </w:p>
    <w:p>
      <w:pPr>
        <w:pStyle w:val="berschrift2"/>
        <w:rPr/>
      </w:pPr>
      <w:bookmarkStart w:id="10177" w:name="ID0EF"/>
      <w:r>
        <w:rPr/>
        <w:t xml:space="preserve">Manuelle Fehlerbehebung</w:t>
      </w:r>
      <w:bookmarkEnd w:id="10177"/>
    </w:p>
    <w:p>
      <w:pPr>
        <w:pStyle w:val="Standard"/>
        <w:rPr/>
      </w:pPr>
      <w:bookmarkStart w:id="10178" w:name="ID0EZF"/>
      <w:r>
        <w:rPr/>
        <w:t xml:space="preserve">Nicht alle Probleme sind elektronisch erfassbar.</w:t>
      </w:r>
      <w:bookmarkEnd w:id="10178"/>
    </w:p>
    <w:p>
      <w:pPr>
        <w:pStyle w:val="Standard"/>
        <w:rPr/>
      </w:pPr>
      <w:bookmarkStart w:id="10179" w:name="ID0EQBAC"/>
      <w:r>
        <w:rPr/>
        <w:t xml:space="preserve">Im Folgenden sind häufige Probleme mit möglichen Ursachen und den durchzuführenden Maßnahmen aufgelistet.</w:t>
      </w:r>
      <w:bookmarkEnd w:id="10179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80" w:name="ID0EUGAC"/>
      <w:r>
        <w:rPr/>
        <w:t xml:space="preserve">Das Gerät lässt sich nicht einschalten.</w:t>
      </w:r>
      <w:bookmarkEnd w:id="10180"/>
    </w:p>
    <w:p>
      <w:pPr>
        <w:pStyle w:val="Liste"/>
        <w:numPr>
          <w:ilvl w:val="0"/>
          <w:numId w:val="18"/>
        </w:numPr>
        <w:rPr/>
      </w:pPr>
      <w:bookmarkStart w:id="10181" w:name="ID0ETHAC"/>
      <w:r>
        <w:rPr/>
        <w:t xml:space="preserve">Der Netzstecker nicht vollständig in die Steckdose gesteckt.</w:t>
      </w:r>
      <w:bookmarkEnd w:id="10181"/>
    </w:p>
    <w:p>
      <w:pPr>
        <w:pStyle w:val="Liste"/>
        <w:numPr>
          <w:ilvl w:val="0"/>
          <w:numId w:val="18"/>
        </w:numPr>
        <w:rPr/>
      </w:pPr>
      <w:bookmarkStart w:id="10182" w:name="ID0EEIAC"/>
      <w:r>
        <w:rPr/>
        <w:t xml:space="preserve">Die Steckdosenleiste nicht eingeschaltet oder nicht an Steckdose eingesteckt.</w:t>
      </w:r>
      <w:bookmarkEnd w:id="10182"/>
    </w:p>
    <w:p>
      <w:pPr>
        <w:pStyle w:val="Liste"/>
        <w:numPr>
          <w:ilvl w:val="0"/>
          <w:numId w:val="18"/>
        </w:numPr>
        <w:rPr/>
      </w:pPr>
      <w:bookmarkStart w:id="10183" w:name="ID0EVIAC"/>
      <w:r>
        <w:rPr/>
        <w:t xml:space="preserve">Die Steckdose ist defekt</w:t>
      </w:r>
      <w:bookmarkEnd w:id="10183"/>
    </w:p>
    <w:p>
      <w:pPr>
        <w:pStyle w:val="Resultat"/>
        <w:rPr/>
      </w:pPr>
      <w:bookmarkStart w:id="10184" w:name="ID0EEKAC"/>
      <w:r>
        <w:rPr/>
        <w:t xml:space="preserve">Siehe Kapitel 7.3</w:t>
      </w:r>
      <w:bookmarkEnd w:id="10184"/>
    </w:p>
    <w:p>
      <w:pPr>
        <w:pStyle w:val="berschrift2"/>
        <w:rPr/>
      </w:pPr>
      <w:bookmarkStart w:id="10185" w:name="ID0EF"/>
      <w:r>
        <w:rPr/>
        <w:t xml:space="preserve">Stromzufuhr prüfen</w:t>
      </w:r>
      <w:bookmarkEnd w:id="10185"/>
    </w:p>
    <w:p>
      <w:pPr>
        <w:pStyle w:val="Liste"/>
        <w:numPr>
          <w:ilvl w:val="0"/>
          <w:numId w:val="5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86" w:name="ID0EF"/>
      <w:r>
        <w:rPr/>
        <w:t xml:space="preserve">Schwenkbereich freiräumen</w:t>
      </w:r>
      <w:bookmarkEnd w:id="1018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7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8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8" w:name="ID0E4G"/>
      <w:r>
        <w:rPr/>
        <w:t xml:space="preserve">Führen Sie im Falle einer Störung der Schwenkfunktion bitte folgende Schritte aus:</w:t>
      </w:r>
      <w:bookmarkEnd w:id="10188"/>
    </w:p>
    <w:p>
      <w:pPr>
        <w:pStyle w:val="Liste"/>
        <w:numPr>
          <w:ilvl w:val="0"/>
          <w:numId w:val="5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89" w:name="ID0EF"/>
      <w:r>
        <w:rPr/>
        <w:t xml:space="preserve">Kontaktdaten</w:t>
      </w:r>
      <w:bookmarkEnd w:id="10189"/>
    </w:p>
    <w:p>
      <w:pPr>
        <w:pStyle w:val="berschrift3"/>
        <w:rPr/>
      </w:pPr>
      <w:bookmarkStart w:id="10190" w:name="ID0EWF"/>
      <w:r>
        <w:rPr/>
        <w:t xml:space="preserve">Unsere Website:</w:t>
      </w:r>
      <w:bookmarkEnd w:id="10190"/>
    </w:p>
    <w:p>
      <w:pPr>
        <w:pStyle w:val="Flie_text"/>
        <w:rPr/>
      </w:pPr>
      <w:bookmarkStart w:id="10191" w:name="ID0ECG"/>
      <w:hyperlink r:id="rIdID0EK4AG">
        <w:r>
          <w:rPr>
            <w:rStyle w:val="Hyperlink"/>
          </w:rPr>
          <w:t xml:space="preserve">www.pi-fan.de</w:t>
        </w:r>
      </w:hyperlink>
      <w:bookmarkEnd w:id="10191"/>
    </w:p>
    <w:p>
      <w:pPr>
        <w:pStyle w:val="Flie_text"/>
        <w:rPr/>
      </w:pPr>
      <w:bookmarkStart w:id="10193" w:name="ID0EUG"/>
      <w:hyperlink r:id="rIdID0ET4AG">
        <w:r>
          <w:rPr>
            <w:rStyle w:val="Hyperlink"/>
          </w:rPr>
          <w:t xml:space="preserve">www.pi-class.i4icm.de</w:t>
        </w:r>
      </w:hyperlink>
      <w:bookmarkEnd w:id="10193"/>
    </w:p>
    <w:p>
      <w:pPr>
        <w:pStyle w:val="berschrift3"/>
        <w:rPr/>
      </w:pPr>
      <w:bookmarkStart w:id="10195" w:name="ID0E3H"/>
      <w:r>
        <w:rPr/>
        <w:t xml:space="preserve">Copyright:</w:t>
      </w:r>
      <w:bookmarkEnd w:id="10195"/>
    </w:p>
    <w:p>
      <w:pPr>
        <w:pStyle w:val="Flie_text"/>
        <w:rPr/>
      </w:pPr>
      <w:bookmarkStart w:id="10196" w:name="ID0EUAAC"/>
      <w:r>
        <w:rPr>
          <w:rStyle w:val="Absatz-Standardschriftart"/>
        </w:rPr>
        <w:t xml:space="preserve">Copyright (c) 2015, the  PI-Fan Project by STZ I4ICM</w:t>
      </w:r>
      <w:bookmarkEnd w:id="10196"/>
    </w:p>
    <w:p>
      <w:pPr>
        <w:pStyle w:val="Flie_text"/>
        <w:rPr/>
      </w:pPr>
      <w:bookmarkStart w:id="10197" w:name="ID0EJCAC"/>
      <w:r>
        <w:rPr>
          <w:rStyle w:val="Absatz-Standardschriftart"/>
        </w:rPr>
        <w:t xml:space="preserve">Contributors to the PI-Fan Project (1.0):</w:t>
      </w:r>
      <w:bookmarkEnd w:id="10197"/>
    </w:p>
    <w:p>
      <w:pPr>
        <w:pStyle w:val="Flie_text"/>
        <w:rPr/>
      </w:pPr>
      <w:bookmarkStart w:id="10198" w:name="ID0E3CAC"/>
      <w:r>
        <w:rPr/>
        <w:t xml:space="preserve">W. Ziegler</w:t>
      </w:r>
      <w:bookmarkEnd w:id="10198"/>
    </w:p>
    <w:p>
      <w:pPr>
        <w:pStyle w:val="Flie_text"/>
        <w:rPr/>
      </w:pPr>
      <w:bookmarkStart w:id="10199" w:name="ID0EQDAC"/>
      <w:r>
        <w:rPr>
          <w:rStyle w:val="Absatz-Standardschriftart"/>
        </w:rPr>
        <w:t xml:space="preserve">Contributors to the PI-Fan Project (1.1):</w:t>
      </w:r>
      <w:bookmarkEnd w:id="10199"/>
    </w:p>
    <w:p>
      <w:pPr>
        <w:pStyle w:val="Flie_text"/>
        <w:rPr/>
      </w:pPr>
      <w:bookmarkStart w:id="10200" w:name="ID0EDEAC"/>
      <w:r>
        <w:rPr>
          <w:rStyle w:val="Absatz-Standardschriftart"/>
        </w:rPr>
        <w:t xml:space="preserve">R. Gruenert, W. Ziegler</w:t>
      </w:r>
      <w:bookmarkEnd w:id="10200"/>
    </w:p>
    <w:p>
      <w:pPr>
        <w:pStyle w:val="Flie_text"/>
        <w:rPr/>
      </w:pPr>
      <w:bookmarkStart w:id="10201" w:name="ID0EHFAC"/>
      <w:r>
        <w:rPr>
          <w:rStyle w:val="Absatz-Standardschriftart"/>
        </w:rPr>
      </w:r>
      <w:bookmarkEnd w:id="10201"/>
    </w:p>
    <w:p>
      <w:pPr>
        <w:pStyle w:val="Flie_text"/>
        <w:rPr/>
      </w:pPr>
      <w:bookmarkStart w:id="10202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02"/>
    </w:p>
    <w:p>
      <w:pPr>
        <w:pStyle w:val="Flie_text"/>
        <w:rPr/>
      </w:pPr>
      <w:bookmarkStart w:id="10203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03"/>
    </w:p>
    <w:p>
      <w:pPr>
        <w:pStyle w:val="Flie_text"/>
        <w:rPr/>
      </w:pPr>
      <w:bookmarkStart w:id="10204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04"/>
    </w:p>
    <w:p>
      <w:pPr>
        <w:pStyle w:val="Flie_text"/>
        <w:rPr/>
      </w:pPr>
      <w:bookmarkStart w:id="10205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05"/>
    </w:p>
    <w:p>
      <w:pPr>
        <w:pStyle w:val="Flie_text"/>
        <w:rPr/>
      </w:pPr>
      <w:bookmarkStart w:id="10206" w:name="ID0EJJAC"/>
      <w:r>
        <w:rPr>
          <w:rStyle w:val="Absatz-Standardschriftart"/>
        </w:rPr>
        <w:t xml:space="preserve">copies of the Software, and to permit persons to whom the Software is</w:t>
      </w:r>
      <w:bookmarkEnd w:id="10206"/>
    </w:p>
    <w:p>
      <w:pPr>
        <w:pStyle w:val="Flie_text"/>
        <w:rPr/>
      </w:pPr>
      <w:bookmarkStart w:id="10207" w:name="ID0EHKAC"/>
      <w:r>
        <w:rPr>
          <w:rStyle w:val="Absatz-Standardschriftart"/>
        </w:rPr>
        <w:t xml:space="preserve">furnished to do so, subject to the following conditions:</w:t>
      </w:r>
      <w:bookmarkEnd w:id="10207"/>
    </w:p>
    <w:p>
      <w:pPr>
        <w:pStyle w:val="Flie_text"/>
        <w:rPr/>
      </w:pPr>
      <w:bookmarkStart w:id="10208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8"/>
    </w:p>
    <w:p>
      <w:pPr>
        <w:pStyle w:val="Flie_text"/>
        <w:rPr/>
      </w:pPr>
      <w:bookmarkStart w:id="10209" w:name="ID0EFMAC"/>
      <w:r>
        <w:rPr>
          <w:rStyle w:val="Absatz-Standardschriftart"/>
        </w:rPr>
        <w:t xml:space="preserve">all copies or substantial portions of the Software.</w:t>
      </w:r>
      <w:bookmarkEnd w:id="10209"/>
    </w:p>
    <w:p>
      <w:pPr>
        <w:pStyle w:val="Flie_text"/>
        <w:rPr/>
      </w:pPr>
      <w:bookmarkStart w:id="10210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10"/>
    </w:p>
    <w:p>
      <w:pPr>
        <w:pStyle w:val="Flie_text"/>
        <w:rPr/>
      </w:pPr>
      <w:bookmarkStart w:id="10211" w:name="ID0EDOAC"/>
      <w:r>
        <w:rPr>
          <w:rStyle w:val="Absatz-Standardschriftart"/>
        </w:rPr>
        <w:t xml:space="preserve">IMPLIED, INCLUDING BUT NOT LIMITED TO THE WARRANTIES OF MERCHANTABILITY,</w:t>
      </w:r>
      <w:bookmarkEnd w:id="10211"/>
    </w:p>
    <w:p>
      <w:pPr>
        <w:pStyle w:val="Flie_text"/>
        <w:rPr/>
      </w:pPr>
      <w:bookmarkStart w:id="10212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12"/>
    </w:p>
    <w:p>
      <w:pPr>
        <w:pStyle w:val="Flie_text"/>
        <w:rPr/>
      </w:pPr>
      <w:bookmarkStart w:id="10213" w:name="ID0EJPAC"/>
      <w:r>
        <w:rPr>
          <w:rStyle w:val="Absatz-Standardschriftart"/>
        </w:rPr>
        <w:t xml:space="preserve">AUTHORS OR COPYRIGHT HOLDERS BE LIABLE FOR ANY CLAIM, DAMAGES OR OTHER</w:t>
      </w:r>
      <w:bookmarkEnd w:id="10213"/>
    </w:p>
    <w:p>
      <w:pPr>
        <w:pStyle w:val="Flie_text"/>
        <w:rPr/>
      </w:pPr>
      <w:bookmarkStart w:id="10214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14"/>
    </w:p>
    <w:p>
      <w:pPr>
        <w:pStyle w:val="Flie_text"/>
        <w:rPr/>
      </w:pPr>
      <w:bookmarkStart w:id="10215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15"/>
    </w:p>
    <w:p>
      <w:pPr>
        <w:pStyle w:val="Flie_text"/>
        <w:rPr/>
      </w:pPr>
      <w:bookmarkStart w:id="10216" w:name="ID0EEBAE"/>
      <w:r>
        <w:rPr/>
        <w:t xml:space="preserve">THE SOFTWARE.</w:t>
      </w:r>
      <w:bookmarkEnd w:id="10216"/>
    </w:p>
    <w:p>
      <w:pPr>
        <w:pStyle w:val="berschrift1"/>
        <w:rPr/>
      </w:pPr>
      <w:bookmarkStart w:id="10217" w:name="ID0EF"/>
      <w:r>
        <w:rPr/>
        <w:t xml:space="preserve">Entsorgung</w:t>
      </w:r>
      <w:bookmarkEnd w:id="10217"/>
    </w:p>
    <w:p>
      <w:pPr>
        <w:pStyle w:val="Flie_text"/>
        <w:rPr/>
      </w:pPr>
      <w:bookmarkStart w:id="10218" w:name="ID0EAG"/>
      <w:r>
        <w:rPr/>
        <w:t xml:space="preserve">Das Gerät unterliegt den Entsorgungsbestimmungen für Elektrogeräte. Für die Entsorgung des Geräts stehen Ihnen zwei Optionen zur Verfügung:</w:t>
      </w:r>
      <w:bookmarkEnd w:id="10218"/>
    </w:p>
    <w:p>
      <w:pPr>
        <w:pStyle w:val="berschrift3"/>
        <w:rPr/>
      </w:pPr>
      <w:bookmarkStart w:id="10219" w:name="ID0EQG"/>
      <w:r>
        <w:rPr/>
        <w:t xml:space="preserve">Option 1</w:t>
      </w:r>
      <w:bookmarkEnd w:id="10219"/>
    </w:p>
    <w:p>
      <w:pPr>
        <w:pStyle w:val="Flie_text"/>
        <w:rPr/>
      </w:pPr>
      <w:bookmarkStart w:id="10220" w:name="ID0E2G"/>
      <w:r>
        <w:rPr/>
        <w:t xml:space="preserve">Entsorgen Sie die Bestandteile des Geräts selbst in den dafür vorgesehenen Behältern.</w:t>
      </w:r>
      <w:bookmarkEnd w:id="10220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21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21"/>
          </w:p>
        </w:tc>
        <w:tc>
          <w:tcPr/>
          <w:p>
            <w:pPr>
              <w:pStyle w:val="Tabellen_berschrift"/>
              <w:rPr/>
            </w:pPr>
            <w:bookmarkStart w:id="10222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2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3" w:name="ID0EXBAC"/>
            <w:r>
              <w:rPr/>
              <w:t xml:space="preserve">Metallteile</w:t>
            </w:r>
            <w:bookmarkEnd w:id="10223"/>
          </w:p>
        </w:tc>
        <w:tc>
          <w:tcPr/>
          <w:p>
            <w:pPr>
              <w:pStyle w:val="Tabellentext"/>
              <w:rPr/>
            </w:pPr>
            <w:bookmarkStart w:id="10224" w:name="ID0EHCAC"/>
            <w:r>
              <w:rPr/>
              <w:t xml:space="preserve">Sondermüll</w:t>
            </w:r>
            <w:bookmarkEnd w:id="1022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5" w:name="ID0E3CAC"/>
            <w:r>
              <w:rPr/>
              <w:t xml:space="preserve">Kunststoffteile</w:t>
            </w:r>
            <w:bookmarkEnd w:id="10225"/>
          </w:p>
        </w:tc>
        <w:tc>
          <w:tcPr/>
          <w:p>
            <w:pPr>
              <w:pStyle w:val="Tabellentext"/>
              <w:rPr/>
            </w:pPr>
            <w:bookmarkStart w:id="10226" w:name="ID0EMDAC"/>
            <w:r>
              <w:rPr/>
              <w:t xml:space="preserve">Recyclingbehälter</w:t>
            </w:r>
            <w:bookmarkEnd w:id="102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7" w:name="ID0EBEAC"/>
            <w:r>
              <w:rPr/>
              <w:t xml:space="preserve">Folieverpackung</w:t>
            </w:r>
            <w:bookmarkEnd w:id="10227"/>
          </w:p>
        </w:tc>
        <w:tc>
          <w:tcPr/>
          <w:p>
            <w:pPr>
              <w:pStyle w:val="Tabellentext"/>
              <w:rPr/>
            </w:pPr>
            <w:bookmarkStart w:id="10228" w:name="ID0EREAC"/>
            <w:r>
              <w:rPr/>
              <w:t xml:space="preserve">Recyclingbehälter</w:t>
            </w:r>
            <w:bookmarkEnd w:id="1022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9" w:name="ID0EGFAC"/>
            <w:r>
              <w:rPr/>
              <w:t xml:space="preserve">Kartonverpackung</w:t>
            </w:r>
            <w:bookmarkEnd w:id="10229"/>
          </w:p>
        </w:tc>
        <w:tc>
          <w:tcPr/>
          <w:p>
            <w:pPr>
              <w:pStyle w:val="Tabellentext"/>
              <w:rPr/>
            </w:pPr>
            <w:bookmarkStart w:id="10230" w:name="ID0EWFAC"/>
            <w:r>
              <w:rPr/>
              <w:t xml:space="preserve">Papier-Mülltonne</w:t>
            </w:r>
            <w:bookmarkEnd w:id="10230"/>
          </w:p>
        </w:tc>
      </w:tr>
    </w:tbl>
    <w:p>
      <w:pPr>
        <w:pStyle w:val="berschrift3"/>
        <w:rPr/>
      </w:pPr>
      <w:bookmarkStart w:id="10231" w:name="ID0EBGAC"/>
      <w:r>
        <w:rPr/>
        <w:t xml:space="preserve">Option 2</w:t>
      </w:r>
      <w:bookmarkEnd w:id="10231"/>
    </w:p>
    <w:p>
      <w:pPr>
        <w:pStyle w:val="Flie_text"/>
        <w:rPr/>
      </w:pPr>
      <w:bookmarkStart w:id="10232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32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2">
    <w:abstractNumId w:val="0"/>
    <w:lvlOverride w:ilvl="0">
      <w:startOverride w:val="1"/>
    </w:lvlOverride>
  </w:num>
  <w:num w:numId="53">
    <w:abstractNumId w:val="0"/>
    <w:lvlOverride w:ilvl="0">
      <w:startOverride w:val="2"/>
    </w:lvlOverride>
  </w:num>
  <w:num w:numId="54">
    <w:abstractNumId w:val="0"/>
    <w:lvlOverride w:ilvl="0">
      <w:startOverride w:val="3"/>
    </w:lvlOverride>
  </w:num>
  <w:num w:numId="55">
    <w:abstractNumId w:val="0"/>
    <w:lvlOverride w:ilvl="0">
      <w:startOverride w:val="1"/>
    </w:lvlOverride>
  </w:num>
  <w:num w:numId="56">
    <w:abstractNumId w:val="0"/>
    <w:lvlOverride w:ilvl="0">
      <w:startOverride w:val="2"/>
    </w:lvlOverride>
  </w:num>
  <w:num w:numId="57">
    <w:abstractNumId w:val="0"/>
    <w:lvlOverride w:ilvl="0">
      <w:startOverride w:val="3"/>
    </w:lvlOverride>
  </w:num>
  <w:num w:numId="58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BEAAA" Type="http://schemas.openxmlformats.org/officeDocument/2006/relationships/image" Target="media/Bedienteil_m_Display.png" /><pr:Relationship Id="rIdimg_newid_ID7AAAACAAA" Type="http://schemas.openxmlformats.org/officeDocument/2006/relationships/image" Target="media/Bedienteil_m_Display.png" /><pr:Relationship Id="rIdimg_newid_ID8AAACBAAAAAAA" Type="http://schemas.openxmlformats.org/officeDocument/2006/relationships/image" Target="media/Bedienteil_m_Display.png" /><pr:Relationship Id="rIdID0EK4AG" Type="http://schemas.openxmlformats.org/officeDocument/2006/relationships/hyperlink" Target="http://www.pi-fan.de" TargetMode="External" /><pr:Relationship Id="rIdID0ET4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2016-08-13T21:22:49Z</dcterms:created>
  <dcterms:modified xmlns:dcterms="http://purl.org/dc/terms/" xmlns:xsi="http://www.w3.org/2001/XMLSchema-instance" xsi:type="dcterms:W3CDTF">2016-08-13T21:22:49Z</dcterms:modified>
</cp:coreProperties>
</file>